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763BB" w14:textId="77777777" w:rsidR="00722BB7" w:rsidRPr="00293EE1" w:rsidRDefault="00722BB7" w:rsidP="00722BB7">
      <w:pPr>
        <w:rPr>
          <w:rFonts w:ascii="Merriweather" w:hAnsi="Merriweather" w:cs="Times New Roman"/>
          <w:b/>
          <w:sz w:val="24"/>
        </w:rPr>
      </w:pPr>
    </w:p>
    <w:tbl>
      <w:tblPr>
        <w:tblW w:w="9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1"/>
        <w:gridCol w:w="486"/>
        <w:gridCol w:w="392"/>
        <w:gridCol w:w="298"/>
        <w:gridCol w:w="31"/>
        <w:gridCol w:w="63"/>
        <w:gridCol w:w="223"/>
        <w:gridCol w:w="112"/>
        <w:gridCol w:w="56"/>
        <w:gridCol w:w="178"/>
        <w:gridCol w:w="308"/>
        <w:gridCol w:w="144"/>
        <w:gridCol w:w="248"/>
        <w:gridCol w:w="22"/>
        <w:gridCol w:w="438"/>
        <w:gridCol w:w="115"/>
        <w:gridCol w:w="90"/>
        <w:gridCol w:w="267"/>
        <w:gridCol w:w="374"/>
        <w:gridCol w:w="109"/>
        <w:gridCol w:w="199"/>
        <w:gridCol w:w="57"/>
        <w:gridCol w:w="491"/>
        <w:gridCol w:w="428"/>
        <w:gridCol w:w="257"/>
        <w:gridCol w:w="21"/>
        <w:gridCol w:w="178"/>
        <w:gridCol w:w="380"/>
        <w:gridCol w:w="200"/>
        <w:gridCol w:w="33"/>
        <w:gridCol w:w="193"/>
        <w:gridCol w:w="22"/>
        <w:gridCol w:w="101"/>
        <w:gridCol w:w="1162"/>
        <w:gridCol w:w="22"/>
      </w:tblGrid>
      <w:tr w:rsidR="00722BB7" w:rsidRPr="00293EE1" w14:paraId="46B4A477" w14:textId="77777777" w:rsidTr="00DF3546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5DF9E861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 xml:space="preserve">Naziv kolegija </w:t>
            </w:r>
          </w:p>
        </w:tc>
        <w:tc>
          <w:tcPr>
            <w:tcW w:w="5407" w:type="dxa"/>
            <w:gridSpan w:val="25"/>
            <w:vAlign w:val="center"/>
          </w:tcPr>
          <w:p w14:paraId="5754BD5C" w14:textId="77777777" w:rsidR="00722BB7" w:rsidRPr="0006490C" w:rsidRDefault="00722BB7" w:rsidP="00DF3546">
            <w:pPr>
              <w:pStyle w:val="Heading1"/>
              <w:rPr>
                <w:rFonts w:ascii="Merriweather" w:hAnsi="Merriweather"/>
                <w:color w:val="auto"/>
              </w:rPr>
            </w:pPr>
            <w:bookmarkStart w:id="0" w:name="_Toc112761642"/>
            <w:r w:rsidRPr="0006490C">
              <w:rPr>
                <w:rFonts w:ascii="Merriweather" w:hAnsi="Merriweather"/>
                <w:color w:val="auto"/>
              </w:rPr>
              <w:t>PLANIRANJE PUTOVANJA</w:t>
            </w:r>
            <w:bookmarkEnd w:id="0"/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68F15061" w14:textId="77777777" w:rsidR="00722BB7" w:rsidRPr="00293EE1" w:rsidRDefault="00722BB7" w:rsidP="00DF3546">
            <w:pPr>
              <w:spacing w:before="20" w:after="20"/>
              <w:jc w:val="center"/>
              <w:rPr>
                <w:rFonts w:ascii="Merriweather" w:hAnsi="Merriweather"/>
                <w:b/>
                <w:sz w:val="20"/>
              </w:rPr>
            </w:pPr>
            <w:r w:rsidRPr="00293EE1">
              <w:rPr>
                <w:rFonts w:ascii="Merriweather" w:hAnsi="Merriweather"/>
                <w:b/>
                <w:sz w:val="20"/>
              </w:rPr>
              <w:t>akad. god.</w:t>
            </w:r>
          </w:p>
        </w:tc>
        <w:tc>
          <w:tcPr>
            <w:tcW w:w="1533" w:type="dxa"/>
            <w:gridSpan w:val="6"/>
            <w:vAlign w:val="center"/>
          </w:tcPr>
          <w:p w14:paraId="0CA590E7" w14:textId="1D2F6EE8" w:rsidR="00722BB7" w:rsidRPr="00293EE1" w:rsidRDefault="00722BB7" w:rsidP="00DF3546">
            <w:pPr>
              <w:spacing w:before="20" w:after="20"/>
              <w:jc w:val="center"/>
              <w:rPr>
                <w:rFonts w:ascii="Merriweather" w:hAnsi="Merriweather"/>
                <w:sz w:val="20"/>
              </w:rPr>
            </w:pPr>
            <w:r w:rsidRPr="00293EE1">
              <w:rPr>
                <w:rFonts w:ascii="Merriweather" w:hAnsi="Merriweather"/>
                <w:sz w:val="20"/>
              </w:rPr>
              <w:t>202</w:t>
            </w:r>
            <w:r>
              <w:rPr>
                <w:rFonts w:ascii="Merriweather" w:hAnsi="Merriweather"/>
                <w:sz w:val="20"/>
              </w:rPr>
              <w:t>3</w:t>
            </w:r>
            <w:r w:rsidRPr="00293EE1">
              <w:rPr>
                <w:rFonts w:ascii="Merriweather" w:hAnsi="Merriweather"/>
                <w:sz w:val="20"/>
              </w:rPr>
              <w:t>./202</w:t>
            </w:r>
            <w:r>
              <w:rPr>
                <w:rFonts w:ascii="Merriweather" w:hAnsi="Merriweather"/>
                <w:sz w:val="20"/>
              </w:rPr>
              <w:t>4</w:t>
            </w:r>
            <w:r w:rsidRPr="00293EE1">
              <w:rPr>
                <w:rFonts w:ascii="Merriweather" w:hAnsi="Merriweather"/>
                <w:sz w:val="20"/>
              </w:rPr>
              <w:t>.</w:t>
            </w:r>
          </w:p>
        </w:tc>
      </w:tr>
      <w:tr w:rsidR="00722BB7" w:rsidRPr="00293EE1" w14:paraId="692242AC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1B164C10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20"/>
              </w:rPr>
            </w:pPr>
            <w:r w:rsidRPr="00293EE1">
              <w:rPr>
                <w:rFonts w:ascii="Merriweather" w:hAnsi="Merriweather"/>
                <w:b/>
                <w:sz w:val="20"/>
              </w:rPr>
              <w:t>Naziv studija</w:t>
            </w:r>
          </w:p>
        </w:tc>
        <w:tc>
          <w:tcPr>
            <w:tcW w:w="5407" w:type="dxa"/>
            <w:gridSpan w:val="25"/>
            <w:vAlign w:val="center"/>
          </w:tcPr>
          <w:p w14:paraId="4170CBB1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sz w:val="20"/>
              </w:rPr>
            </w:pPr>
            <w:r w:rsidRPr="00293EE1">
              <w:rPr>
                <w:rFonts w:ascii="Merriweather" w:hAnsi="Merriweather"/>
                <w:sz w:val="20"/>
              </w:rPr>
              <w:t>Preddiplomski studij Nautika i tehnologija pomorskog prometa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1F4322E3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20"/>
              </w:rPr>
            </w:pPr>
            <w:r w:rsidRPr="00293EE1">
              <w:rPr>
                <w:rFonts w:ascii="Merriweather" w:hAnsi="Merriweather"/>
                <w:b/>
                <w:sz w:val="20"/>
              </w:rPr>
              <w:t>ECTS</w:t>
            </w:r>
          </w:p>
        </w:tc>
        <w:tc>
          <w:tcPr>
            <w:tcW w:w="1533" w:type="dxa"/>
            <w:gridSpan w:val="6"/>
          </w:tcPr>
          <w:p w14:paraId="6D9E3348" w14:textId="77777777" w:rsidR="00722BB7" w:rsidRPr="00293EE1" w:rsidRDefault="00722BB7" w:rsidP="00DF3546">
            <w:pPr>
              <w:spacing w:before="20" w:after="20"/>
              <w:jc w:val="center"/>
              <w:rPr>
                <w:rFonts w:ascii="Merriweather" w:hAnsi="Merriweather"/>
                <w:b/>
                <w:sz w:val="20"/>
              </w:rPr>
            </w:pPr>
            <w:r w:rsidRPr="00293EE1">
              <w:rPr>
                <w:rFonts w:ascii="Merriweather" w:hAnsi="Merriweather"/>
                <w:b/>
                <w:sz w:val="20"/>
              </w:rPr>
              <w:t>4</w:t>
            </w:r>
          </w:p>
        </w:tc>
      </w:tr>
      <w:tr w:rsidR="00722BB7" w:rsidRPr="00293EE1" w14:paraId="7A15B48B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6264A184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20"/>
              </w:rPr>
            </w:pPr>
            <w:r w:rsidRPr="00293EE1">
              <w:rPr>
                <w:rFonts w:ascii="Merriweather" w:hAnsi="Merriweather"/>
                <w:b/>
                <w:sz w:val="20"/>
              </w:rPr>
              <w:t>Sastavnica</w:t>
            </w:r>
          </w:p>
        </w:tc>
        <w:tc>
          <w:tcPr>
            <w:tcW w:w="7698" w:type="dxa"/>
            <w:gridSpan w:val="34"/>
            <w:shd w:val="clear" w:color="auto" w:fill="FFFFFF" w:themeFill="background1"/>
            <w:vAlign w:val="center"/>
          </w:tcPr>
          <w:p w14:paraId="49952769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sz w:val="20"/>
              </w:rPr>
            </w:pPr>
            <w:r w:rsidRPr="00293EE1">
              <w:rPr>
                <w:rFonts w:ascii="Merriweather" w:hAnsi="Merriweather"/>
                <w:sz w:val="20"/>
              </w:rPr>
              <w:t>Pomorski odjel</w:t>
            </w:r>
          </w:p>
        </w:tc>
      </w:tr>
      <w:tr w:rsidR="00722BB7" w:rsidRPr="00293EE1" w14:paraId="0839E72A" w14:textId="77777777" w:rsidTr="00DF3546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2DBC2AB0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  <w:szCs w:val="18"/>
              </w:rPr>
            </w:pPr>
            <w:r w:rsidRPr="00293EE1">
              <w:rPr>
                <w:rFonts w:ascii="Merriweather" w:hAnsi="Merriweather"/>
                <w:b/>
                <w:sz w:val="18"/>
                <w:szCs w:val="18"/>
              </w:rPr>
              <w:t>Razina studija</w:t>
            </w:r>
          </w:p>
        </w:tc>
        <w:tc>
          <w:tcPr>
            <w:tcW w:w="1839" w:type="dxa"/>
            <w:gridSpan w:val="9"/>
          </w:tcPr>
          <w:p w14:paraId="26BE74E3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sdt>
              <w:sdtPr>
                <w:rPr>
                  <w:rFonts w:ascii="Merriweather" w:hAnsi="Merriweather"/>
                  <w:sz w:val="18"/>
                  <w:szCs w:val="18"/>
                </w:rPr>
                <w:id w:val="1524211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18"/>
              </w:rPr>
              <w:t xml:space="preserve"> preddiplomski </w:t>
            </w:r>
          </w:p>
        </w:tc>
        <w:tc>
          <w:tcPr>
            <w:tcW w:w="1632" w:type="dxa"/>
            <w:gridSpan w:val="8"/>
          </w:tcPr>
          <w:p w14:paraId="7396DED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sdt>
              <w:sdtPr>
                <w:rPr>
                  <w:rFonts w:ascii="Merriweather" w:hAnsi="Merriweather"/>
                  <w:sz w:val="18"/>
                  <w:szCs w:val="18"/>
                </w:rPr>
                <w:id w:val="1443268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18"/>
              </w:rPr>
              <w:t xml:space="preserve"> diplomski</w:t>
            </w:r>
          </w:p>
        </w:tc>
        <w:tc>
          <w:tcPr>
            <w:tcW w:w="1936" w:type="dxa"/>
            <w:gridSpan w:val="8"/>
          </w:tcPr>
          <w:p w14:paraId="7DF0992D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sdt>
              <w:sdtPr>
                <w:rPr>
                  <w:rFonts w:ascii="Merriweather" w:hAnsi="Merriweather"/>
                  <w:sz w:val="18"/>
                  <w:szCs w:val="18"/>
                </w:rPr>
                <w:id w:val="916529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18"/>
              </w:rPr>
              <w:t xml:space="preserve"> integrirani</w:t>
            </w:r>
          </w:p>
        </w:tc>
        <w:tc>
          <w:tcPr>
            <w:tcW w:w="2291" w:type="dxa"/>
            <w:gridSpan w:val="9"/>
            <w:shd w:val="clear" w:color="auto" w:fill="FFFFFF" w:themeFill="background1"/>
          </w:tcPr>
          <w:p w14:paraId="12314BE9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sdt>
              <w:sdtPr>
                <w:rPr>
                  <w:rFonts w:ascii="Merriweather" w:hAnsi="Merriweather"/>
                  <w:sz w:val="18"/>
                  <w:szCs w:val="18"/>
                </w:rPr>
                <w:id w:val="-1072423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18"/>
              </w:rPr>
              <w:t xml:space="preserve"> poslijediplomski</w:t>
            </w:r>
          </w:p>
        </w:tc>
      </w:tr>
      <w:tr w:rsidR="00722BB7" w:rsidRPr="00293EE1" w14:paraId="32A065A5" w14:textId="77777777" w:rsidTr="00DF3546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3065EE9B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  <w:szCs w:val="18"/>
              </w:rPr>
            </w:pPr>
            <w:r w:rsidRPr="00293EE1">
              <w:rPr>
                <w:rFonts w:ascii="Merriweather" w:hAnsi="Merriweather"/>
                <w:b/>
                <w:sz w:val="18"/>
                <w:szCs w:val="18"/>
              </w:rPr>
              <w:t>Vrsta studija</w:t>
            </w:r>
          </w:p>
        </w:tc>
        <w:tc>
          <w:tcPr>
            <w:tcW w:w="1839" w:type="dxa"/>
            <w:gridSpan w:val="9"/>
          </w:tcPr>
          <w:p w14:paraId="517F7A9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20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-303543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jednopredmetni</w:t>
            </w:r>
          </w:p>
          <w:p w14:paraId="228DC06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1615023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dvopredmetni</w:t>
            </w:r>
          </w:p>
        </w:tc>
        <w:tc>
          <w:tcPr>
            <w:tcW w:w="1632" w:type="dxa"/>
            <w:gridSpan w:val="8"/>
            <w:vAlign w:val="center"/>
          </w:tcPr>
          <w:p w14:paraId="331A097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sdt>
              <w:sdtPr>
                <w:rPr>
                  <w:rFonts w:ascii="Merriweather" w:hAnsi="Merriweather"/>
                  <w:sz w:val="18"/>
                  <w:szCs w:val="18"/>
                </w:rPr>
                <w:id w:val="-1071269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18"/>
              </w:rPr>
              <w:t xml:space="preserve"> sveučilišni</w:t>
            </w:r>
          </w:p>
        </w:tc>
        <w:tc>
          <w:tcPr>
            <w:tcW w:w="1936" w:type="dxa"/>
            <w:gridSpan w:val="8"/>
            <w:vAlign w:val="center"/>
          </w:tcPr>
          <w:p w14:paraId="08E9742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sdt>
              <w:sdtPr>
                <w:rPr>
                  <w:rFonts w:ascii="Merriweather" w:hAnsi="Merriweather"/>
                  <w:sz w:val="18"/>
                  <w:szCs w:val="18"/>
                </w:rPr>
                <w:id w:val="-1673711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18"/>
              </w:rPr>
              <w:t xml:space="preserve"> stručni</w:t>
            </w:r>
          </w:p>
        </w:tc>
        <w:tc>
          <w:tcPr>
            <w:tcW w:w="2291" w:type="dxa"/>
            <w:gridSpan w:val="9"/>
            <w:shd w:val="clear" w:color="auto" w:fill="FFFFFF" w:themeFill="background1"/>
            <w:vAlign w:val="center"/>
          </w:tcPr>
          <w:p w14:paraId="7F1A64F7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sdt>
              <w:sdtPr>
                <w:rPr>
                  <w:rFonts w:ascii="Merriweather" w:hAnsi="Merriweather"/>
                  <w:sz w:val="18"/>
                  <w:szCs w:val="18"/>
                </w:rPr>
                <w:id w:val="2005167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18"/>
              </w:rPr>
              <w:t xml:space="preserve"> specijalistički</w:t>
            </w:r>
          </w:p>
        </w:tc>
      </w:tr>
      <w:tr w:rsidR="00722BB7" w:rsidRPr="00293EE1" w14:paraId="5918423F" w14:textId="77777777" w:rsidTr="00DF3546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4E6845FB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  <w:szCs w:val="18"/>
              </w:rPr>
            </w:pPr>
            <w:r w:rsidRPr="00293EE1">
              <w:rPr>
                <w:rFonts w:ascii="Merriweather" w:hAnsi="Merriweather"/>
                <w:b/>
                <w:sz w:val="18"/>
                <w:szCs w:val="18"/>
              </w:rPr>
              <w:t>Godina studija</w:t>
            </w:r>
          </w:p>
        </w:tc>
        <w:tc>
          <w:tcPr>
            <w:tcW w:w="1605" w:type="dxa"/>
            <w:gridSpan w:val="7"/>
            <w:shd w:val="clear" w:color="auto" w:fill="FFFFFF" w:themeFill="background1"/>
            <w:vAlign w:val="center"/>
          </w:tcPr>
          <w:p w14:paraId="11517C43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469743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1.</w:t>
            </w:r>
          </w:p>
        </w:tc>
        <w:tc>
          <w:tcPr>
            <w:tcW w:w="1599" w:type="dxa"/>
            <w:gridSpan w:val="9"/>
            <w:shd w:val="clear" w:color="auto" w:fill="FFFFFF" w:themeFill="background1"/>
            <w:vAlign w:val="center"/>
          </w:tcPr>
          <w:p w14:paraId="7E18D42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76202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198FD6C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029562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3.</w:t>
            </w:r>
          </w:p>
        </w:tc>
        <w:tc>
          <w:tcPr>
            <w:tcW w:w="1497" w:type="dxa"/>
            <w:gridSpan w:val="7"/>
            <w:shd w:val="clear" w:color="auto" w:fill="FFFFFF" w:themeFill="background1"/>
            <w:vAlign w:val="center"/>
          </w:tcPr>
          <w:p w14:paraId="3E2E63E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606719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4.</w:t>
            </w:r>
          </w:p>
        </w:tc>
        <w:tc>
          <w:tcPr>
            <w:tcW w:w="1500" w:type="dxa"/>
            <w:gridSpan w:val="5"/>
            <w:shd w:val="clear" w:color="auto" w:fill="FFFFFF" w:themeFill="background1"/>
            <w:vAlign w:val="center"/>
          </w:tcPr>
          <w:p w14:paraId="14BAB0A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623196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5.</w:t>
            </w:r>
          </w:p>
        </w:tc>
      </w:tr>
      <w:tr w:rsidR="00722BB7" w:rsidRPr="00293EE1" w14:paraId="3CFE8D91" w14:textId="77777777" w:rsidTr="00DF3546">
        <w:trPr>
          <w:trHeight w:val="8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12B25896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  <w:szCs w:val="18"/>
              </w:rPr>
            </w:pPr>
            <w:r w:rsidRPr="00293EE1">
              <w:rPr>
                <w:rFonts w:ascii="Merriweather" w:hAnsi="Merriweather"/>
                <w:b/>
                <w:sz w:val="18"/>
                <w:szCs w:val="18"/>
              </w:rPr>
              <w:t>Semestar</w:t>
            </w:r>
          </w:p>
        </w:tc>
        <w:tc>
          <w:tcPr>
            <w:tcW w:w="1176" w:type="dxa"/>
            <w:gridSpan w:val="3"/>
            <w:vMerge w:val="restart"/>
          </w:tcPr>
          <w:p w14:paraId="5EFD22F8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20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623125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zimski</w:t>
            </w:r>
          </w:p>
          <w:p w14:paraId="303371F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20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-10779763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ljetni</w:t>
            </w:r>
          </w:p>
        </w:tc>
        <w:tc>
          <w:tcPr>
            <w:tcW w:w="1385" w:type="dxa"/>
            <w:gridSpan w:val="10"/>
            <w:vAlign w:val="center"/>
          </w:tcPr>
          <w:p w14:paraId="40A6E8F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220531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I.</w:t>
            </w:r>
          </w:p>
        </w:tc>
        <w:tc>
          <w:tcPr>
            <w:tcW w:w="1284" w:type="dxa"/>
            <w:gridSpan w:val="5"/>
            <w:vAlign w:val="center"/>
          </w:tcPr>
          <w:p w14:paraId="5E443155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944001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II.</w:t>
            </w:r>
          </w:p>
        </w:tc>
        <w:tc>
          <w:tcPr>
            <w:tcW w:w="1284" w:type="dxa"/>
            <w:gridSpan w:val="5"/>
            <w:vAlign w:val="center"/>
          </w:tcPr>
          <w:p w14:paraId="79256F6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77936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III.</w:t>
            </w:r>
          </w:p>
        </w:tc>
        <w:tc>
          <w:tcPr>
            <w:tcW w:w="1284" w:type="dxa"/>
            <w:gridSpan w:val="8"/>
            <w:vAlign w:val="center"/>
          </w:tcPr>
          <w:p w14:paraId="2C2FC758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288625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IV.</w:t>
            </w:r>
          </w:p>
        </w:tc>
        <w:tc>
          <w:tcPr>
            <w:tcW w:w="1285" w:type="dxa"/>
            <w:gridSpan w:val="3"/>
            <w:vAlign w:val="center"/>
          </w:tcPr>
          <w:p w14:paraId="3FFF377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020670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V.</w:t>
            </w:r>
          </w:p>
        </w:tc>
      </w:tr>
      <w:tr w:rsidR="00722BB7" w:rsidRPr="00293EE1" w14:paraId="6502D526" w14:textId="77777777" w:rsidTr="00DF3546">
        <w:trPr>
          <w:trHeight w:val="80"/>
        </w:trPr>
        <w:tc>
          <w:tcPr>
            <w:tcW w:w="1801" w:type="dxa"/>
            <w:vMerge/>
            <w:shd w:val="clear" w:color="auto" w:fill="F2F2F2" w:themeFill="background1" w:themeFillShade="F2"/>
            <w:vAlign w:val="center"/>
          </w:tcPr>
          <w:p w14:paraId="0C89D144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  <w:szCs w:val="18"/>
              </w:rPr>
            </w:pPr>
          </w:p>
        </w:tc>
        <w:tc>
          <w:tcPr>
            <w:tcW w:w="1176" w:type="dxa"/>
            <w:gridSpan w:val="3"/>
            <w:vMerge/>
          </w:tcPr>
          <w:p w14:paraId="1E2DCC2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20"/>
              </w:rPr>
            </w:pPr>
          </w:p>
        </w:tc>
        <w:tc>
          <w:tcPr>
            <w:tcW w:w="1385" w:type="dxa"/>
            <w:gridSpan w:val="10"/>
            <w:vAlign w:val="center"/>
          </w:tcPr>
          <w:p w14:paraId="5DFE0C0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0114969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VI.</w:t>
            </w:r>
          </w:p>
        </w:tc>
        <w:tc>
          <w:tcPr>
            <w:tcW w:w="1284" w:type="dxa"/>
            <w:gridSpan w:val="5"/>
            <w:vAlign w:val="center"/>
          </w:tcPr>
          <w:p w14:paraId="7621095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849327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VII.</w:t>
            </w:r>
          </w:p>
        </w:tc>
        <w:tc>
          <w:tcPr>
            <w:tcW w:w="1284" w:type="dxa"/>
            <w:gridSpan w:val="5"/>
            <w:vAlign w:val="center"/>
          </w:tcPr>
          <w:p w14:paraId="6C6F43E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273473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VIII.</w:t>
            </w:r>
          </w:p>
        </w:tc>
        <w:tc>
          <w:tcPr>
            <w:tcW w:w="1284" w:type="dxa"/>
            <w:gridSpan w:val="8"/>
            <w:vAlign w:val="center"/>
          </w:tcPr>
          <w:p w14:paraId="038D399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714311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IX.</w:t>
            </w:r>
          </w:p>
        </w:tc>
        <w:tc>
          <w:tcPr>
            <w:tcW w:w="1285" w:type="dxa"/>
            <w:gridSpan w:val="3"/>
            <w:vAlign w:val="center"/>
          </w:tcPr>
          <w:p w14:paraId="5BE7C1C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147859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X.</w:t>
            </w:r>
          </w:p>
        </w:tc>
      </w:tr>
      <w:tr w:rsidR="00722BB7" w:rsidRPr="00293EE1" w14:paraId="012E5D24" w14:textId="77777777" w:rsidTr="00DF3546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38B8006D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  <w:szCs w:val="18"/>
              </w:rPr>
            </w:pPr>
            <w:r w:rsidRPr="00293EE1">
              <w:rPr>
                <w:rFonts w:ascii="Merriweather" w:hAnsi="Merriweather"/>
                <w:b/>
                <w:sz w:val="18"/>
                <w:szCs w:val="18"/>
              </w:rPr>
              <w:t>Status kolegija</w:t>
            </w:r>
          </w:p>
        </w:tc>
        <w:tc>
          <w:tcPr>
            <w:tcW w:w="1176" w:type="dxa"/>
            <w:gridSpan w:val="3"/>
          </w:tcPr>
          <w:p w14:paraId="05F5257A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20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8343356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obvezni kolegij</w:t>
            </w:r>
          </w:p>
        </w:tc>
        <w:tc>
          <w:tcPr>
            <w:tcW w:w="1385" w:type="dxa"/>
            <w:gridSpan w:val="10"/>
            <w:vAlign w:val="center"/>
          </w:tcPr>
          <w:p w14:paraId="28AB5E9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84706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izborni kolegij</w:t>
            </w:r>
          </w:p>
        </w:tc>
        <w:tc>
          <w:tcPr>
            <w:tcW w:w="2568" w:type="dxa"/>
            <w:gridSpan w:val="10"/>
            <w:vAlign w:val="center"/>
          </w:tcPr>
          <w:p w14:paraId="5157785A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-1794588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izborni kolegij koji se nudi studentima drugih odjela</w:t>
            </w:r>
          </w:p>
        </w:tc>
        <w:tc>
          <w:tcPr>
            <w:tcW w:w="1284" w:type="dxa"/>
            <w:gridSpan w:val="8"/>
            <w:shd w:val="clear" w:color="auto" w:fill="F2F2F2" w:themeFill="background1" w:themeFillShade="F2"/>
            <w:vAlign w:val="center"/>
          </w:tcPr>
          <w:p w14:paraId="23B0FDD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Nastavničke kompetencije</w:t>
            </w:r>
          </w:p>
        </w:tc>
        <w:tc>
          <w:tcPr>
            <w:tcW w:w="1285" w:type="dxa"/>
            <w:gridSpan w:val="3"/>
            <w:vAlign w:val="center"/>
          </w:tcPr>
          <w:p w14:paraId="5806350F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-1863743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DA </w:t>
            </w:r>
            <w:sdt>
              <w:sdtPr>
                <w:rPr>
                  <w:rFonts w:ascii="Merriweather" w:hAnsi="Merriweather"/>
                  <w:sz w:val="18"/>
                  <w:szCs w:val="20"/>
                </w:rPr>
                <w:id w:val="4212986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NE</w:t>
            </w:r>
          </w:p>
        </w:tc>
      </w:tr>
      <w:tr w:rsidR="00722BB7" w:rsidRPr="00293EE1" w14:paraId="1914A679" w14:textId="77777777" w:rsidTr="00DF3546">
        <w:trPr>
          <w:gridAfter w:val="1"/>
          <w:wAfter w:w="22" w:type="dxa"/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6AB7D5A3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  <w:szCs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Opterećenje</w:t>
            </w:r>
          </w:p>
        </w:tc>
        <w:tc>
          <w:tcPr>
            <w:tcW w:w="486" w:type="dxa"/>
          </w:tcPr>
          <w:p w14:paraId="298BCAD3" w14:textId="77777777" w:rsidR="00722BB7" w:rsidRPr="00293EE1" w:rsidRDefault="00722BB7" w:rsidP="00DF3546">
            <w:pPr>
              <w:spacing w:before="20" w:after="20"/>
              <w:jc w:val="center"/>
              <w:rPr>
                <w:rFonts w:ascii="Merriweather" w:hAnsi="Merriweather"/>
                <w:sz w:val="18"/>
                <w:szCs w:val="20"/>
              </w:rPr>
            </w:pPr>
            <w:r w:rsidRPr="00293EE1">
              <w:rPr>
                <w:rFonts w:ascii="Merriweather" w:hAnsi="Merriweather"/>
                <w:sz w:val="18"/>
                <w:szCs w:val="20"/>
              </w:rPr>
              <w:t>30</w:t>
            </w:r>
          </w:p>
        </w:tc>
        <w:tc>
          <w:tcPr>
            <w:tcW w:w="392" w:type="dxa"/>
          </w:tcPr>
          <w:p w14:paraId="72F0C236" w14:textId="77777777" w:rsidR="00722BB7" w:rsidRPr="00293EE1" w:rsidRDefault="00722BB7" w:rsidP="00DF3546">
            <w:pPr>
              <w:spacing w:before="20" w:after="20"/>
              <w:jc w:val="center"/>
              <w:rPr>
                <w:rFonts w:ascii="Merriweather" w:hAnsi="Merriweather"/>
                <w:b/>
                <w:sz w:val="18"/>
                <w:szCs w:val="20"/>
              </w:rPr>
            </w:pPr>
            <w:r w:rsidRPr="00293EE1">
              <w:rPr>
                <w:rFonts w:ascii="Merriweather" w:hAnsi="Merriweather"/>
                <w:b/>
                <w:sz w:val="18"/>
                <w:szCs w:val="20"/>
              </w:rPr>
              <w:t>P</w:t>
            </w:r>
          </w:p>
        </w:tc>
        <w:tc>
          <w:tcPr>
            <w:tcW w:w="392" w:type="dxa"/>
            <w:gridSpan w:val="3"/>
          </w:tcPr>
          <w:p w14:paraId="19578F59" w14:textId="77777777" w:rsidR="00722BB7" w:rsidRPr="00293EE1" w:rsidRDefault="00722BB7" w:rsidP="00DF3546">
            <w:pPr>
              <w:spacing w:before="20" w:after="20"/>
              <w:jc w:val="center"/>
              <w:rPr>
                <w:rFonts w:ascii="Merriweather" w:hAnsi="Merriweather"/>
                <w:sz w:val="18"/>
                <w:szCs w:val="20"/>
              </w:rPr>
            </w:pPr>
          </w:p>
        </w:tc>
        <w:tc>
          <w:tcPr>
            <w:tcW w:w="391" w:type="dxa"/>
            <w:gridSpan w:val="3"/>
          </w:tcPr>
          <w:p w14:paraId="4F231B61" w14:textId="77777777" w:rsidR="00722BB7" w:rsidRPr="00293EE1" w:rsidRDefault="00722BB7" w:rsidP="00DF3546">
            <w:pPr>
              <w:spacing w:before="20" w:after="20"/>
              <w:jc w:val="center"/>
              <w:rPr>
                <w:rFonts w:ascii="Merriweather" w:hAnsi="Merriweather"/>
                <w:b/>
                <w:sz w:val="18"/>
                <w:szCs w:val="20"/>
              </w:rPr>
            </w:pPr>
            <w:r w:rsidRPr="00293EE1">
              <w:rPr>
                <w:rFonts w:ascii="Merriweather" w:hAnsi="Merriweather"/>
                <w:b/>
                <w:sz w:val="18"/>
                <w:szCs w:val="20"/>
              </w:rPr>
              <w:t>S</w:t>
            </w:r>
          </w:p>
        </w:tc>
        <w:tc>
          <w:tcPr>
            <w:tcW w:w="486" w:type="dxa"/>
            <w:gridSpan w:val="2"/>
          </w:tcPr>
          <w:p w14:paraId="10DE2E1C" w14:textId="77777777" w:rsidR="00722BB7" w:rsidRPr="00293EE1" w:rsidRDefault="00722BB7" w:rsidP="00DF3546">
            <w:pPr>
              <w:spacing w:before="20" w:after="20"/>
              <w:jc w:val="center"/>
              <w:rPr>
                <w:rFonts w:ascii="Merriweather" w:hAnsi="Merriweather"/>
                <w:sz w:val="18"/>
                <w:szCs w:val="20"/>
              </w:rPr>
            </w:pPr>
            <w:r w:rsidRPr="00293EE1">
              <w:rPr>
                <w:rFonts w:ascii="Merriweather" w:hAnsi="Merriweather"/>
                <w:sz w:val="18"/>
                <w:szCs w:val="20"/>
              </w:rPr>
              <w:t>30</w:t>
            </w:r>
          </w:p>
        </w:tc>
        <w:tc>
          <w:tcPr>
            <w:tcW w:w="392" w:type="dxa"/>
            <w:gridSpan w:val="2"/>
          </w:tcPr>
          <w:p w14:paraId="369BA1CB" w14:textId="77777777" w:rsidR="00722BB7" w:rsidRPr="00293EE1" w:rsidRDefault="00722BB7" w:rsidP="00DF3546">
            <w:pPr>
              <w:spacing w:before="20" w:after="20"/>
              <w:jc w:val="center"/>
              <w:rPr>
                <w:rFonts w:ascii="Merriweather" w:hAnsi="Merriweather"/>
                <w:b/>
                <w:sz w:val="18"/>
                <w:szCs w:val="20"/>
              </w:rPr>
            </w:pPr>
            <w:r w:rsidRPr="00293EE1">
              <w:rPr>
                <w:rFonts w:ascii="Merriweather" w:hAnsi="Merriweather"/>
                <w:b/>
                <w:sz w:val="18"/>
                <w:szCs w:val="20"/>
              </w:rPr>
              <w:t>V</w:t>
            </w:r>
          </w:p>
        </w:tc>
        <w:tc>
          <w:tcPr>
            <w:tcW w:w="3852" w:type="dxa"/>
            <w:gridSpan w:val="18"/>
            <w:shd w:val="clear" w:color="auto" w:fill="F2F2F2" w:themeFill="background1" w:themeFillShade="F2"/>
            <w:vAlign w:val="center"/>
          </w:tcPr>
          <w:p w14:paraId="0B9AB66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  <w:szCs w:val="20"/>
              </w:rPr>
              <w:t>Mrežne stranice kolegija u sustavu za e-učenje</w:t>
            </w:r>
          </w:p>
        </w:tc>
        <w:tc>
          <w:tcPr>
            <w:tcW w:w="1285" w:type="dxa"/>
            <w:gridSpan w:val="3"/>
            <w:vAlign w:val="center"/>
          </w:tcPr>
          <w:p w14:paraId="49533B3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20"/>
              </w:rPr>
            </w:pPr>
            <w:sdt>
              <w:sdtPr>
                <w:rPr>
                  <w:rFonts w:ascii="Merriweather" w:hAnsi="Merriweather"/>
                  <w:sz w:val="18"/>
                  <w:szCs w:val="20"/>
                </w:rPr>
                <w:id w:val="-13823983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DA </w:t>
            </w:r>
            <w:sdt>
              <w:sdtPr>
                <w:rPr>
                  <w:rFonts w:ascii="Merriweather" w:hAnsi="Merriweather"/>
                  <w:sz w:val="18"/>
                  <w:szCs w:val="20"/>
                </w:rPr>
                <w:id w:val="1640221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  <w:szCs w:val="20"/>
              </w:rPr>
              <w:t xml:space="preserve"> NE</w:t>
            </w:r>
          </w:p>
        </w:tc>
      </w:tr>
      <w:tr w:rsidR="00722BB7" w:rsidRPr="00293EE1" w14:paraId="15B35340" w14:textId="77777777" w:rsidTr="00DF3546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4843277B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Mjesto i vrijeme izvođenja nastave</w:t>
            </w:r>
          </w:p>
        </w:tc>
        <w:tc>
          <w:tcPr>
            <w:tcW w:w="2561" w:type="dxa"/>
            <w:gridSpan w:val="13"/>
            <w:vAlign w:val="center"/>
          </w:tcPr>
          <w:p w14:paraId="534E6403" w14:textId="77777777" w:rsidR="00722BB7" w:rsidRPr="00293EE1" w:rsidRDefault="00722BB7" w:rsidP="00DF3546">
            <w:pPr>
              <w:spacing w:before="20" w:after="20"/>
              <w:jc w:val="center"/>
              <w:rPr>
                <w:rFonts w:ascii="Merriweather" w:hAnsi="Merriweather"/>
                <w:bCs/>
                <w:sz w:val="18"/>
                <w:szCs w:val="20"/>
              </w:rPr>
            </w:pPr>
            <w:r w:rsidRPr="00293EE1">
              <w:rPr>
                <w:rFonts w:ascii="Merriweather" w:hAnsi="Merriweather"/>
                <w:bCs/>
                <w:sz w:val="18"/>
                <w:szCs w:val="20"/>
              </w:rPr>
              <w:t>Pomorski odjel, pred. 02, utorkom od 13 do 15</w:t>
            </w:r>
          </w:p>
        </w:tc>
        <w:tc>
          <w:tcPr>
            <w:tcW w:w="3852" w:type="dxa"/>
            <w:gridSpan w:val="18"/>
            <w:shd w:val="clear" w:color="auto" w:fill="F2F2F2" w:themeFill="background1" w:themeFillShade="F2"/>
            <w:vAlign w:val="center"/>
          </w:tcPr>
          <w:p w14:paraId="015FA82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/>
                <w:b/>
                <w:sz w:val="18"/>
                <w:szCs w:val="20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Jezik/jezici na kojima se izvodi kolegij</w:t>
            </w:r>
          </w:p>
        </w:tc>
        <w:tc>
          <w:tcPr>
            <w:tcW w:w="1285" w:type="dxa"/>
            <w:gridSpan w:val="3"/>
            <w:vAlign w:val="center"/>
          </w:tcPr>
          <w:p w14:paraId="4DC18FB8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20"/>
                <w:highlight w:val="red"/>
              </w:rPr>
            </w:pPr>
            <w:r w:rsidRPr="00293EE1">
              <w:rPr>
                <w:rFonts w:ascii="Merriweather" w:hAnsi="Merriweather"/>
                <w:sz w:val="18"/>
                <w:szCs w:val="20"/>
              </w:rPr>
              <w:t>hrvatski</w:t>
            </w:r>
          </w:p>
        </w:tc>
      </w:tr>
      <w:tr w:rsidR="00722BB7" w:rsidRPr="00293EE1" w14:paraId="2A736301" w14:textId="77777777" w:rsidTr="00DF3546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1B8D6F2E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Početak nastave</w:t>
            </w:r>
          </w:p>
        </w:tc>
        <w:tc>
          <w:tcPr>
            <w:tcW w:w="2561" w:type="dxa"/>
            <w:gridSpan w:val="13"/>
            <w:vAlign w:val="center"/>
          </w:tcPr>
          <w:p w14:paraId="1BEF02A4" w14:textId="77777777" w:rsidR="00722BB7" w:rsidRPr="00293EE1" w:rsidRDefault="00722BB7" w:rsidP="00DF3546">
            <w:pPr>
              <w:spacing w:before="20" w:after="20"/>
              <w:jc w:val="center"/>
              <w:rPr>
                <w:rFonts w:ascii="Merriweather" w:hAnsi="Merriweather"/>
                <w:b/>
                <w:sz w:val="18"/>
                <w:szCs w:val="20"/>
              </w:rPr>
            </w:pPr>
            <w:r w:rsidRPr="00293EE1">
              <w:rPr>
                <w:rFonts w:ascii="Merriweather" w:hAnsi="Merriweather"/>
                <w:sz w:val="18"/>
              </w:rPr>
              <w:t>-</w:t>
            </w:r>
          </w:p>
        </w:tc>
        <w:tc>
          <w:tcPr>
            <w:tcW w:w="3852" w:type="dxa"/>
            <w:gridSpan w:val="18"/>
            <w:shd w:val="clear" w:color="auto" w:fill="F2F2F2" w:themeFill="background1" w:themeFillShade="F2"/>
            <w:vAlign w:val="center"/>
          </w:tcPr>
          <w:p w14:paraId="3B4519A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Završetak nastave</w:t>
            </w:r>
          </w:p>
        </w:tc>
        <w:tc>
          <w:tcPr>
            <w:tcW w:w="1285" w:type="dxa"/>
            <w:gridSpan w:val="3"/>
            <w:vAlign w:val="center"/>
          </w:tcPr>
          <w:p w14:paraId="64F51D56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20"/>
              </w:rPr>
            </w:pPr>
            <w:r w:rsidRPr="00293EE1">
              <w:rPr>
                <w:rFonts w:ascii="Merriweather" w:hAnsi="Merriweather"/>
                <w:sz w:val="18"/>
              </w:rPr>
              <w:t>-</w:t>
            </w:r>
          </w:p>
        </w:tc>
      </w:tr>
      <w:tr w:rsidR="00722BB7" w:rsidRPr="00293EE1" w14:paraId="718DF047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27A9F362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Preduvjeti za upis kolegija</w:t>
            </w:r>
          </w:p>
        </w:tc>
        <w:tc>
          <w:tcPr>
            <w:tcW w:w="7698" w:type="dxa"/>
            <w:gridSpan w:val="34"/>
          </w:tcPr>
          <w:p w14:paraId="3DEABE2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.</w:t>
            </w:r>
          </w:p>
        </w:tc>
      </w:tr>
      <w:tr w:rsidR="00722BB7" w:rsidRPr="00293EE1" w14:paraId="73022468" w14:textId="77777777" w:rsidTr="00DF3546">
        <w:tc>
          <w:tcPr>
            <w:tcW w:w="9499" w:type="dxa"/>
            <w:gridSpan w:val="35"/>
            <w:shd w:val="clear" w:color="auto" w:fill="D9D9D9" w:themeFill="background1" w:themeFillShade="D9"/>
          </w:tcPr>
          <w:p w14:paraId="6D47B546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sz w:val="18"/>
                <w:szCs w:val="18"/>
              </w:rPr>
            </w:pPr>
          </w:p>
        </w:tc>
      </w:tr>
      <w:tr w:rsidR="00722BB7" w:rsidRPr="00293EE1" w14:paraId="79A0A78E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343B8BDD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Nositelj kolegija</w:t>
            </w:r>
          </w:p>
        </w:tc>
        <w:tc>
          <w:tcPr>
            <w:tcW w:w="7698" w:type="dxa"/>
            <w:gridSpan w:val="34"/>
          </w:tcPr>
          <w:p w14:paraId="6B716E48" w14:textId="2AF6E2F6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>
              <w:rPr>
                <w:rFonts w:ascii="Merriweather" w:hAnsi="Merriweather"/>
                <w:sz w:val="18"/>
              </w:rPr>
              <w:t>d</w:t>
            </w:r>
            <w:r w:rsidRPr="00293EE1">
              <w:rPr>
                <w:rFonts w:ascii="Merriweather" w:hAnsi="Merriweather"/>
                <w:sz w:val="18"/>
              </w:rPr>
              <w:t xml:space="preserve">oc. dr. sc. </w:t>
            </w:r>
            <w:r>
              <w:rPr>
                <w:rFonts w:ascii="Merriweather" w:hAnsi="Merriweather"/>
                <w:sz w:val="18"/>
              </w:rPr>
              <w:t>Ivan Toman</w:t>
            </w:r>
          </w:p>
        </w:tc>
      </w:tr>
      <w:tr w:rsidR="00722BB7" w:rsidRPr="00293EE1" w14:paraId="060D685A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2348E5E7" w14:textId="77777777" w:rsidR="00722BB7" w:rsidRPr="00293EE1" w:rsidRDefault="00722BB7" w:rsidP="00DF3546">
            <w:pPr>
              <w:spacing w:before="20" w:after="20"/>
              <w:jc w:val="right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E-mail</w:t>
            </w:r>
          </w:p>
        </w:tc>
        <w:tc>
          <w:tcPr>
            <w:tcW w:w="4210" w:type="dxa"/>
            <w:gridSpan w:val="21"/>
          </w:tcPr>
          <w:p w14:paraId="3EA89760" w14:textId="03EA7BB3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>
              <w:t>itoman@unizd.hr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64C40A26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9"/>
          </w:tcPr>
          <w:p w14:paraId="4FC6508F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Svaki utorak nakon održanih predavanja</w:t>
            </w:r>
          </w:p>
        </w:tc>
      </w:tr>
      <w:tr w:rsidR="00722BB7" w:rsidRPr="00293EE1" w14:paraId="0D64FF5C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4B68F579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Izvođač kolegija</w:t>
            </w:r>
          </w:p>
        </w:tc>
        <w:tc>
          <w:tcPr>
            <w:tcW w:w="7698" w:type="dxa"/>
            <w:gridSpan w:val="34"/>
          </w:tcPr>
          <w:p w14:paraId="149E0651" w14:textId="7EB7044E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>
              <w:rPr>
                <w:rFonts w:ascii="Merriweather" w:hAnsi="Merriweather"/>
                <w:sz w:val="18"/>
              </w:rPr>
              <w:t>Ivan Toman</w:t>
            </w:r>
          </w:p>
        </w:tc>
      </w:tr>
      <w:tr w:rsidR="00722BB7" w:rsidRPr="00293EE1" w14:paraId="703435D2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76A52D28" w14:textId="77777777" w:rsidR="00722BB7" w:rsidRPr="00293EE1" w:rsidRDefault="00722BB7" w:rsidP="00DF3546">
            <w:pPr>
              <w:spacing w:before="20" w:after="20"/>
              <w:jc w:val="right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E-mail</w:t>
            </w:r>
          </w:p>
        </w:tc>
        <w:tc>
          <w:tcPr>
            <w:tcW w:w="4210" w:type="dxa"/>
            <w:gridSpan w:val="21"/>
          </w:tcPr>
          <w:p w14:paraId="39C25556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6F509D2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9"/>
          </w:tcPr>
          <w:p w14:paraId="02AADED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Svaki tjedan nakon održanih predavanja</w:t>
            </w:r>
          </w:p>
        </w:tc>
      </w:tr>
      <w:tr w:rsidR="00722BB7" w:rsidRPr="00293EE1" w14:paraId="0B9E9025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1E01B753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Suradnik na kolegiju</w:t>
            </w:r>
          </w:p>
        </w:tc>
        <w:tc>
          <w:tcPr>
            <w:tcW w:w="7698" w:type="dxa"/>
            <w:gridSpan w:val="34"/>
          </w:tcPr>
          <w:p w14:paraId="42E2A346" w14:textId="26048628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mag. ing. naut.</w:t>
            </w:r>
            <w:r>
              <w:rPr>
                <w:rFonts w:ascii="Merriweather" w:hAnsi="Merriweather"/>
                <w:sz w:val="18"/>
              </w:rPr>
              <w:t xml:space="preserve"> Nina Kostović</w:t>
            </w:r>
          </w:p>
        </w:tc>
      </w:tr>
      <w:tr w:rsidR="00722BB7" w:rsidRPr="00293EE1" w14:paraId="5982DF8B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5D0C9B81" w14:textId="77777777" w:rsidR="00722BB7" w:rsidRPr="00293EE1" w:rsidRDefault="00722BB7" w:rsidP="00DF3546">
            <w:pPr>
              <w:spacing w:before="20" w:after="20"/>
              <w:jc w:val="right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E-mail</w:t>
            </w:r>
          </w:p>
        </w:tc>
        <w:tc>
          <w:tcPr>
            <w:tcW w:w="4210" w:type="dxa"/>
            <w:gridSpan w:val="21"/>
          </w:tcPr>
          <w:p w14:paraId="47B6895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18"/>
              </w:rPr>
            </w:pPr>
            <w:hyperlink r:id="rId5" w:history="1">
              <w:r w:rsidRPr="00293EE1">
                <w:rPr>
                  <w:rStyle w:val="Hyperlink"/>
                  <w:rFonts w:ascii="Merriweather" w:hAnsi="Merriweather"/>
                  <w:sz w:val="18"/>
                  <w:szCs w:val="18"/>
                </w:rPr>
                <w:t>nkostovic@unizd.hr</w:t>
              </w:r>
            </w:hyperlink>
            <w:r w:rsidRPr="00293EE1">
              <w:rPr>
                <w:rFonts w:ascii="Merriweather" w:hAnsi="Merriweather"/>
                <w:sz w:val="18"/>
                <w:szCs w:val="18"/>
              </w:rPr>
              <w:t xml:space="preserve"> 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40BEC00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9"/>
          </w:tcPr>
          <w:p w14:paraId="70D9404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Svaki tjedan nakon održanih vježbi</w:t>
            </w:r>
          </w:p>
        </w:tc>
      </w:tr>
      <w:tr w:rsidR="00722BB7" w:rsidRPr="00293EE1" w14:paraId="3FE3E704" w14:textId="77777777" w:rsidTr="00DF3546">
        <w:tc>
          <w:tcPr>
            <w:tcW w:w="9499" w:type="dxa"/>
            <w:gridSpan w:val="35"/>
            <w:shd w:val="clear" w:color="auto" w:fill="D9D9D9" w:themeFill="background1" w:themeFillShade="D9"/>
          </w:tcPr>
          <w:p w14:paraId="0CC6C0E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  <w:szCs w:val="18"/>
              </w:rPr>
            </w:pPr>
          </w:p>
        </w:tc>
      </w:tr>
      <w:tr w:rsidR="00722BB7" w:rsidRPr="00293EE1" w14:paraId="79019175" w14:textId="77777777" w:rsidTr="00DF3546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252250A8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Vrste izvođenja nastave</w:t>
            </w:r>
          </w:p>
        </w:tc>
        <w:tc>
          <w:tcPr>
            <w:tcW w:w="1605" w:type="dxa"/>
            <w:gridSpan w:val="7"/>
            <w:vAlign w:val="center"/>
          </w:tcPr>
          <w:p w14:paraId="307D0C75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126786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predavanja</w:t>
            </w:r>
          </w:p>
        </w:tc>
        <w:tc>
          <w:tcPr>
            <w:tcW w:w="1599" w:type="dxa"/>
            <w:gridSpan w:val="9"/>
            <w:vAlign w:val="center"/>
          </w:tcPr>
          <w:p w14:paraId="4853ACA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607978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4D13A62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9642303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vježbe</w:t>
            </w:r>
          </w:p>
        </w:tc>
        <w:tc>
          <w:tcPr>
            <w:tcW w:w="1497" w:type="dxa"/>
            <w:gridSpan w:val="7"/>
            <w:vAlign w:val="center"/>
          </w:tcPr>
          <w:p w14:paraId="05DA59C6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271169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e-učenje</w:t>
            </w:r>
          </w:p>
        </w:tc>
        <w:tc>
          <w:tcPr>
            <w:tcW w:w="1500" w:type="dxa"/>
            <w:gridSpan w:val="5"/>
            <w:vAlign w:val="center"/>
          </w:tcPr>
          <w:p w14:paraId="24B2C378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52806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terenska nastava</w:t>
            </w:r>
          </w:p>
        </w:tc>
      </w:tr>
      <w:tr w:rsidR="00722BB7" w:rsidRPr="00293EE1" w14:paraId="4C8AED02" w14:textId="77777777" w:rsidTr="00DF3546">
        <w:tc>
          <w:tcPr>
            <w:tcW w:w="1801" w:type="dxa"/>
            <w:vMerge/>
            <w:shd w:val="clear" w:color="auto" w:fill="F2F2F2" w:themeFill="background1" w:themeFillShade="F2"/>
          </w:tcPr>
          <w:p w14:paraId="4C361E8E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1605" w:type="dxa"/>
            <w:gridSpan w:val="7"/>
            <w:vAlign w:val="center"/>
          </w:tcPr>
          <w:p w14:paraId="533EFA8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735613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samostalni zadaci</w:t>
            </w:r>
          </w:p>
        </w:tc>
        <w:tc>
          <w:tcPr>
            <w:tcW w:w="1599" w:type="dxa"/>
            <w:gridSpan w:val="9"/>
            <w:vAlign w:val="center"/>
          </w:tcPr>
          <w:p w14:paraId="321E488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943840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4ED0B543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204161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7"/>
            <w:vAlign w:val="center"/>
          </w:tcPr>
          <w:p w14:paraId="37C6A5D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349115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mentorski rad</w:t>
            </w:r>
          </w:p>
        </w:tc>
        <w:tc>
          <w:tcPr>
            <w:tcW w:w="1500" w:type="dxa"/>
            <w:gridSpan w:val="5"/>
            <w:vAlign w:val="center"/>
          </w:tcPr>
          <w:p w14:paraId="5AD58638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931551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Mincho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ostalo</w:t>
            </w:r>
          </w:p>
        </w:tc>
      </w:tr>
      <w:tr w:rsidR="00722BB7" w:rsidRPr="00293EE1" w14:paraId="73601CC6" w14:textId="77777777" w:rsidTr="00DF3546">
        <w:tc>
          <w:tcPr>
            <w:tcW w:w="3406" w:type="dxa"/>
            <w:gridSpan w:val="8"/>
            <w:shd w:val="clear" w:color="auto" w:fill="F2F2F2" w:themeFill="background1" w:themeFillShade="F2"/>
          </w:tcPr>
          <w:p w14:paraId="08B33754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Ishodi učenja kolegija</w:t>
            </w:r>
          </w:p>
        </w:tc>
        <w:tc>
          <w:tcPr>
            <w:tcW w:w="6093" w:type="dxa"/>
            <w:gridSpan w:val="27"/>
            <w:vAlign w:val="center"/>
          </w:tcPr>
          <w:p w14:paraId="5E5E3D92" w14:textId="77777777" w:rsidR="00722BB7" w:rsidRPr="00293EE1" w:rsidRDefault="00722BB7" w:rsidP="00722BB7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419"/>
              <w:jc w:val="both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Samostalno izraditi plan putovanja broda;</w:t>
            </w:r>
          </w:p>
          <w:p w14:paraId="606D02BF" w14:textId="77777777" w:rsidR="00722BB7" w:rsidRPr="00293EE1" w:rsidRDefault="00722BB7" w:rsidP="00722BB7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419"/>
              <w:jc w:val="both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Brzo i efikasno izmijeniti plan putovanja broda, na temelju promjene plana od strane kompanije (promjena luka, promjena tereta, i dr.);</w:t>
            </w:r>
          </w:p>
          <w:p w14:paraId="510F4B21" w14:textId="77777777" w:rsidR="00722BB7" w:rsidRPr="00293EE1" w:rsidRDefault="00722BB7" w:rsidP="00722BB7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419"/>
              <w:jc w:val="both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lastRenderedPageBreak/>
              <w:t>Upravljati brodom u putovanjima važnijim svjetskim plovnim područjima, kao i poštivanje pravila (lokalna) plovidbe koja se obavezno primjenjuju u tim područjima;</w:t>
            </w:r>
          </w:p>
          <w:p w14:paraId="52C2007D" w14:textId="77777777" w:rsidR="00722BB7" w:rsidRPr="00293EE1" w:rsidRDefault="00722BB7" w:rsidP="00722BB7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419"/>
              <w:jc w:val="both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Izraditi plan putovanja broda u piratskim područjima plovidbe;</w:t>
            </w:r>
          </w:p>
          <w:p w14:paraId="77998A88" w14:textId="77777777" w:rsidR="00722BB7" w:rsidRPr="00293EE1" w:rsidRDefault="00722BB7" w:rsidP="00722BB7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419"/>
              <w:jc w:val="both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Prilagoditi se različitim socijalnim okruženjima i timskom radu;</w:t>
            </w:r>
          </w:p>
          <w:p w14:paraId="58647C6A" w14:textId="77777777" w:rsidR="00722BB7" w:rsidRPr="00293EE1" w:rsidRDefault="00722BB7" w:rsidP="00722BB7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419"/>
              <w:jc w:val="both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Pripremiti navigaciju plana putovanja broda od polazne do odredišne luke;</w:t>
            </w:r>
          </w:p>
          <w:p w14:paraId="2205D5D6" w14:textId="77777777" w:rsidR="00722BB7" w:rsidRPr="00293EE1" w:rsidRDefault="00722BB7" w:rsidP="00722BB7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419"/>
              <w:jc w:val="both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Koristiti različite metode određivanja pozicije broda;</w:t>
            </w:r>
          </w:p>
          <w:p w14:paraId="54E938B9" w14:textId="77777777" w:rsidR="00722BB7" w:rsidRPr="00293EE1" w:rsidRDefault="00722BB7" w:rsidP="00722BB7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419"/>
              <w:jc w:val="both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Numerički rješavati (navigacijske) zadatke ortodromske, loksodromske i kombinirane plovidbe;</w:t>
            </w:r>
          </w:p>
          <w:p w14:paraId="12320413" w14:textId="77777777" w:rsidR="00722BB7" w:rsidRPr="00293EE1" w:rsidRDefault="00722BB7" w:rsidP="00722BB7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419"/>
              <w:jc w:val="both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Navigacijski upravljati (voditi) brod od polazne do odredišne luke;</w:t>
            </w:r>
          </w:p>
          <w:p w14:paraId="23D311D7" w14:textId="77777777" w:rsidR="00722BB7" w:rsidRPr="00293EE1" w:rsidRDefault="00722BB7" w:rsidP="00722BB7">
            <w:pPr>
              <w:pStyle w:val="ListParagraph"/>
              <w:numPr>
                <w:ilvl w:val="0"/>
                <w:numId w:val="1"/>
              </w:numPr>
              <w:tabs>
                <w:tab w:val="left" w:pos="1218"/>
              </w:tabs>
              <w:spacing w:before="20" w:after="20"/>
              <w:ind w:left="419"/>
              <w:jc w:val="both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Koristiti elektroničke karte za pripremu plana putovanja i nadgledanje rute pri navigaciji.</w:t>
            </w:r>
          </w:p>
        </w:tc>
      </w:tr>
      <w:tr w:rsidR="00722BB7" w:rsidRPr="00293EE1" w14:paraId="7380B744" w14:textId="77777777" w:rsidTr="00DF3546">
        <w:tc>
          <w:tcPr>
            <w:tcW w:w="3406" w:type="dxa"/>
            <w:gridSpan w:val="8"/>
            <w:shd w:val="clear" w:color="auto" w:fill="F2F2F2" w:themeFill="background1" w:themeFillShade="F2"/>
          </w:tcPr>
          <w:p w14:paraId="493CD68F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lastRenderedPageBreak/>
              <w:t>Ishodi učenja na razini programa kojima kolegij doprinosi</w:t>
            </w:r>
          </w:p>
        </w:tc>
        <w:tc>
          <w:tcPr>
            <w:tcW w:w="6093" w:type="dxa"/>
            <w:gridSpan w:val="27"/>
            <w:vAlign w:val="center"/>
          </w:tcPr>
          <w:p w14:paraId="3E0004E4" w14:textId="77777777" w:rsidR="00722BB7" w:rsidRPr="00293EE1" w:rsidRDefault="00722BB7" w:rsidP="00722BB7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ind w:left="419"/>
              <w:jc w:val="both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Primijeniti različite tehnike i metode prijevoza tereta i putnika morem s ciljem osposobljavanja za samostalni i kritički rad u praksi;</w:t>
            </w:r>
          </w:p>
          <w:p w14:paraId="21C8699C" w14:textId="77777777" w:rsidR="00722BB7" w:rsidRPr="00293EE1" w:rsidRDefault="00722BB7" w:rsidP="00722BB7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ind w:left="419"/>
              <w:jc w:val="both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Odabrati i koristiti različite metode manevriranja brodom;</w:t>
            </w:r>
          </w:p>
          <w:p w14:paraId="208843CA" w14:textId="77777777" w:rsidR="00722BB7" w:rsidRPr="00293EE1" w:rsidRDefault="00722BB7" w:rsidP="00722BB7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ind w:left="419"/>
              <w:jc w:val="both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Kombinirati i koristiti brodske uređaje na upravljačkoj razini;</w:t>
            </w:r>
          </w:p>
          <w:p w14:paraId="269D661D" w14:textId="77777777" w:rsidR="00722BB7" w:rsidRPr="00293EE1" w:rsidRDefault="00722BB7" w:rsidP="00722BB7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ind w:left="419"/>
              <w:jc w:val="both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Rukovoditi i upravljati posadom osnovom timskog rada na upravljačkoj razini;</w:t>
            </w:r>
          </w:p>
          <w:p w14:paraId="7F63362E" w14:textId="77777777" w:rsidR="00722BB7" w:rsidRPr="00293EE1" w:rsidRDefault="00722BB7" w:rsidP="00722BB7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ind w:left="419"/>
              <w:jc w:val="both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Analizirati i odabrati prikladan stil upravljanja u multikulturnom okružju;</w:t>
            </w:r>
          </w:p>
          <w:p w14:paraId="1C228623" w14:textId="77777777" w:rsidR="00722BB7" w:rsidRPr="00774365" w:rsidRDefault="00722BB7" w:rsidP="00722BB7">
            <w:pPr>
              <w:pStyle w:val="ListParagraph"/>
              <w:numPr>
                <w:ilvl w:val="0"/>
                <w:numId w:val="3"/>
              </w:numPr>
              <w:tabs>
                <w:tab w:val="left" w:pos="1218"/>
              </w:tabs>
              <w:spacing w:before="20" w:after="20"/>
              <w:ind w:left="419"/>
              <w:jc w:val="both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Izraditi plan, unaprijediti zaštitu i spriječiti onečišćenja morskog okoliša.</w:t>
            </w:r>
          </w:p>
        </w:tc>
      </w:tr>
      <w:tr w:rsidR="00722BB7" w:rsidRPr="00293EE1" w14:paraId="225CE6D3" w14:textId="77777777" w:rsidTr="00DF3546">
        <w:tc>
          <w:tcPr>
            <w:tcW w:w="9499" w:type="dxa"/>
            <w:gridSpan w:val="35"/>
            <w:shd w:val="clear" w:color="auto" w:fill="D9D9D9" w:themeFill="background1" w:themeFillShade="D9"/>
          </w:tcPr>
          <w:p w14:paraId="2C03A1A4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sz w:val="18"/>
                <w:szCs w:val="20"/>
              </w:rPr>
            </w:pPr>
          </w:p>
        </w:tc>
      </w:tr>
      <w:tr w:rsidR="00722BB7" w:rsidRPr="00293EE1" w14:paraId="1D7600E0" w14:textId="77777777" w:rsidTr="00DF3546">
        <w:trPr>
          <w:trHeight w:val="19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610FE2C0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Načini praćenja studenata</w:t>
            </w:r>
          </w:p>
        </w:tc>
        <w:tc>
          <w:tcPr>
            <w:tcW w:w="1605" w:type="dxa"/>
            <w:gridSpan w:val="7"/>
            <w:vAlign w:val="center"/>
          </w:tcPr>
          <w:p w14:paraId="397ABF2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63800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pohađanje nastave</w:t>
            </w:r>
          </w:p>
        </w:tc>
        <w:tc>
          <w:tcPr>
            <w:tcW w:w="1599" w:type="dxa"/>
            <w:gridSpan w:val="9"/>
            <w:vAlign w:val="center"/>
          </w:tcPr>
          <w:p w14:paraId="35035DF5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52308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5D385B5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38074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domaće zadaće</w:t>
            </w:r>
          </w:p>
        </w:tc>
        <w:tc>
          <w:tcPr>
            <w:tcW w:w="1497" w:type="dxa"/>
            <w:gridSpan w:val="7"/>
            <w:vAlign w:val="center"/>
          </w:tcPr>
          <w:p w14:paraId="5615028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347372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kontinuirana evaluacija</w:t>
            </w:r>
          </w:p>
        </w:tc>
        <w:tc>
          <w:tcPr>
            <w:tcW w:w="1500" w:type="dxa"/>
            <w:gridSpan w:val="5"/>
            <w:vAlign w:val="center"/>
          </w:tcPr>
          <w:p w14:paraId="7F0FD54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2081440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istraživanje</w:t>
            </w:r>
          </w:p>
        </w:tc>
      </w:tr>
      <w:tr w:rsidR="00722BB7" w:rsidRPr="00293EE1" w14:paraId="664B208D" w14:textId="77777777" w:rsidTr="00DF3546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530C636C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1605" w:type="dxa"/>
            <w:gridSpan w:val="7"/>
            <w:vAlign w:val="center"/>
          </w:tcPr>
          <w:p w14:paraId="1D4EFC1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5336936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praktični rad</w:t>
            </w:r>
          </w:p>
        </w:tc>
        <w:tc>
          <w:tcPr>
            <w:tcW w:w="1599" w:type="dxa"/>
            <w:gridSpan w:val="9"/>
            <w:vAlign w:val="center"/>
          </w:tcPr>
          <w:p w14:paraId="7A2A516D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66195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6"/>
              </w:rPr>
              <w:t>eksperimentalni rad</w:t>
            </w:r>
          </w:p>
        </w:tc>
        <w:tc>
          <w:tcPr>
            <w:tcW w:w="1497" w:type="dxa"/>
            <w:gridSpan w:val="6"/>
            <w:vAlign w:val="center"/>
          </w:tcPr>
          <w:p w14:paraId="4482B696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82929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izlaganje</w:t>
            </w:r>
          </w:p>
        </w:tc>
        <w:tc>
          <w:tcPr>
            <w:tcW w:w="1497" w:type="dxa"/>
            <w:gridSpan w:val="7"/>
            <w:vAlign w:val="center"/>
          </w:tcPr>
          <w:p w14:paraId="65A3793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456759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projekt</w:t>
            </w:r>
          </w:p>
        </w:tc>
        <w:tc>
          <w:tcPr>
            <w:tcW w:w="1500" w:type="dxa"/>
            <w:gridSpan w:val="5"/>
            <w:vAlign w:val="center"/>
          </w:tcPr>
          <w:p w14:paraId="4B6E6CA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095751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seminar</w:t>
            </w:r>
          </w:p>
        </w:tc>
      </w:tr>
      <w:tr w:rsidR="00722BB7" w:rsidRPr="00293EE1" w14:paraId="1189497D" w14:textId="77777777" w:rsidTr="00DF3546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6B2CB1EA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1605" w:type="dxa"/>
            <w:gridSpan w:val="7"/>
            <w:vAlign w:val="center"/>
          </w:tcPr>
          <w:p w14:paraId="2CB23F0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730796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kolokvij(i)</w:t>
            </w:r>
          </w:p>
        </w:tc>
        <w:tc>
          <w:tcPr>
            <w:tcW w:w="1599" w:type="dxa"/>
            <w:gridSpan w:val="9"/>
            <w:vAlign w:val="center"/>
          </w:tcPr>
          <w:p w14:paraId="4D29452A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6420073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434F30A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936967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usmeni ispit</w:t>
            </w:r>
          </w:p>
        </w:tc>
        <w:tc>
          <w:tcPr>
            <w:tcW w:w="2997" w:type="dxa"/>
            <w:gridSpan w:val="12"/>
            <w:vAlign w:val="center"/>
          </w:tcPr>
          <w:p w14:paraId="5009583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2117797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ostalo: </w:t>
            </w:r>
          </w:p>
        </w:tc>
      </w:tr>
      <w:tr w:rsidR="00722BB7" w:rsidRPr="00293EE1" w14:paraId="524051FA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5AD4F349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Uvjeti pristupanja ispitu</w:t>
            </w:r>
          </w:p>
        </w:tc>
        <w:tc>
          <w:tcPr>
            <w:tcW w:w="7698" w:type="dxa"/>
            <w:gridSpan w:val="34"/>
            <w:vAlign w:val="center"/>
          </w:tcPr>
          <w:p w14:paraId="36861E2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i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-</w:t>
            </w:r>
          </w:p>
        </w:tc>
      </w:tr>
      <w:tr w:rsidR="00722BB7" w:rsidRPr="00293EE1" w14:paraId="78B39475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0895D56A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Ispitni rokovi</w:t>
            </w:r>
          </w:p>
        </w:tc>
        <w:tc>
          <w:tcPr>
            <w:tcW w:w="3114" w:type="dxa"/>
            <w:gridSpan w:val="15"/>
          </w:tcPr>
          <w:p w14:paraId="7729051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9247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zimski ispitni rok </w:t>
            </w:r>
          </w:p>
        </w:tc>
        <w:tc>
          <w:tcPr>
            <w:tcW w:w="2471" w:type="dxa"/>
            <w:gridSpan w:val="11"/>
          </w:tcPr>
          <w:p w14:paraId="7BB45AE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20828291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ljetni ispitni rok</w:t>
            </w:r>
          </w:p>
        </w:tc>
        <w:tc>
          <w:tcPr>
            <w:tcW w:w="2113" w:type="dxa"/>
            <w:gridSpan w:val="8"/>
          </w:tcPr>
          <w:p w14:paraId="5110485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20321485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jesenski ispitni rok</w:t>
            </w:r>
          </w:p>
        </w:tc>
      </w:tr>
      <w:tr w:rsidR="00722BB7" w:rsidRPr="00293EE1" w14:paraId="7A2FDE85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1C533375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Termini ispitnih rokova</w:t>
            </w:r>
          </w:p>
        </w:tc>
        <w:tc>
          <w:tcPr>
            <w:tcW w:w="3114" w:type="dxa"/>
            <w:gridSpan w:val="15"/>
            <w:vAlign w:val="center"/>
          </w:tcPr>
          <w:p w14:paraId="3EE9D92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</w:p>
        </w:tc>
        <w:tc>
          <w:tcPr>
            <w:tcW w:w="2471" w:type="dxa"/>
            <w:gridSpan w:val="11"/>
            <w:vAlign w:val="center"/>
          </w:tcPr>
          <w:p w14:paraId="2C3CC29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-</w:t>
            </w:r>
          </w:p>
        </w:tc>
        <w:tc>
          <w:tcPr>
            <w:tcW w:w="2113" w:type="dxa"/>
            <w:gridSpan w:val="8"/>
            <w:vAlign w:val="center"/>
          </w:tcPr>
          <w:p w14:paraId="32016296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-</w:t>
            </w:r>
          </w:p>
        </w:tc>
      </w:tr>
      <w:tr w:rsidR="00722BB7" w:rsidRPr="00293EE1" w14:paraId="4457B8B2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19787FD7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Opis kolegija</w:t>
            </w:r>
          </w:p>
        </w:tc>
        <w:tc>
          <w:tcPr>
            <w:tcW w:w="7698" w:type="dxa"/>
            <w:gridSpan w:val="34"/>
          </w:tcPr>
          <w:p w14:paraId="3ECD27C2" w14:textId="77777777" w:rsidR="00722BB7" w:rsidRPr="00293EE1" w:rsidRDefault="00722BB7" w:rsidP="00722BB7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ind w:left="496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Naučiti studente vještini i temeljnim načinima izrade plana putovanja broda u oceanskoj i obalnoj plovidbi, u ovisnosti o fizičko-geografskim značajkama plovnog područja koje možemo predvidjeti u plovidbenim akvatorijima;</w:t>
            </w:r>
          </w:p>
          <w:p w14:paraId="5F7B1058" w14:textId="77777777" w:rsidR="00722BB7" w:rsidRPr="00293EE1" w:rsidRDefault="00722BB7" w:rsidP="00722BB7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ind w:left="496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Naučiti studente kako koristiti prethodna (slična putovanja broda) u izradi plana putovanja broda u oceanskoj i obalnoj plovidbi, uključujući korištenje prikladnih funkcija elektroničke karte;</w:t>
            </w:r>
          </w:p>
          <w:p w14:paraId="0F2EFC21" w14:textId="77777777" w:rsidR="00722BB7" w:rsidRPr="00293EE1" w:rsidRDefault="00722BB7" w:rsidP="00722BB7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ind w:left="496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Primjena usvojenih teorijskih znanja i praktičnih vještina iz terestričke navigacije;</w:t>
            </w:r>
          </w:p>
          <w:p w14:paraId="188B30A4" w14:textId="77777777" w:rsidR="00722BB7" w:rsidRPr="00293EE1" w:rsidRDefault="00722BB7" w:rsidP="00722BB7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ind w:left="496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lastRenderedPageBreak/>
              <w:t>Osposobiti studente za numeričko rješavanje (navigacijskih) zadataka ortodromske, loksodromske i kombinirane plovidbe;</w:t>
            </w:r>
          </w:p>
          <w:p w14:paraId="2ED5D554" w14:textId="77777777" w:rsidR="00722BB7" w:rsidRPr="00293EE1" w:rsidRDefault="00722BB7" w:rsidP="00722BB7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ind w:left="496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Osposobljavanje studenata za individualno vježbanje na navigacijskoj karti i izradu plana putovanja na navigacijskoj karti, uključujući elektroničke karte;</w:t>
            </w:r>
          </w:p>
          <w:p w14:paraId="5C65B182" w14:textId="77777777" w:rsidR="00722BB7" w:rsidRPr="00293EE1" w:rsidRDefault="00722BB7" w:rsidP="00722BB7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ind w:left="496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Učenje konvencionalnih vještina brzog određivanja položaja broda različitim metodama terestričke navigacije koja se primjenjuju tijekom izrade plana putovanja (paralel indexi, pokriveni smjerovi, i sl.), uključujući elektroničke karte;</w:t>
            </w:r>
          </w:p>
        </w:tc>
      </w:tr>
      <w:tr w:rsidR="00722BB7" w:rsidRPr="00293EE1" w14:paraId="627566E2" w14:textId="77777777" w:rsidTr="00DF3546">
        <w:trPr>
          <w:trHeight w:val="145"/>
        </w:trPr>
        <w:tc>
          <w:tcPr>
            <w:tcW w:w="1801" w:type="dxa"/>
            <w:vMerge w:val="restart"/>
            <w:shd w:val="clear" w:color="auto" w:fill="F2F2F2" w:themeFill="background1" w:themeFillShade="F2"/>
          </w:tcPr>
          <w:p w14:paraId="745550CA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lastRenderedPageBreak/>
              <w:t>Sadržaj kolegija (nastavne teme)</w:t>
            </w:r>
          </w:p>
        </w:tc>
        <w:tc>
          <w:tcPr>
            <w:tcW w:w="3954" w:type="dxa"/>
            <w:gridSpan w:val="19"/>
          </w:tcPr>
          <w:p w14:paraId="08094435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Predavanja</w:t>
            </w:r>
          </w:p>
        </w:tc>
        <w:tc>
          <w:tcPr>
            <w:tcW w:w="3744" w:type="dxa"/>
            <w:gridSpan w:val="15"/>
          </w:tcPr>
          <w:p w14:paraId="668A4B3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Vježbe</w:t>
            </w:r>
          </w:p>
        </w:tc>
      </w:tr>
      <w:tr w:rsidR="00722BB7" w:rsidRPr="00293EE1" w14:paraId="7FA952E2" w14:textId="77777777" w:rsidTr="00DF3546">
        <w:trPr>
          <w:trHeight w:val="136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4CF8D261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3954" w:type="dxa"/>
            <w:gridSpan w:val="19"/>
          </w:tcPr>
          <w:p w14:paraId="00ABAAC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1.</w:t>
            </w:r>
          </w:p>
          <w:p w14:paraId="54C28DF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Planiranje putovanja – uvodne napomene;</w:t>
            </w:r>
          </w:p>
          <w:p w14:paraId="46CC62F8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Rezultati nedovoljne organizacijske i navigacijske pripreme putovanja brodom. </w:t>
            </w:r>
          </w:p>
          <w:p w14:paraId="29FD922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STCW konvencija </w:t>
            </w:r>
          </w:p>
          <w:p w14:paraId="7FDD5FC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International Convention on Standards of Training, Certification and Watchkeeping for Seafarers, 1978; STCW 95, STCW code including resolution 2 of the 1995 STCW conference, as amended in 1997, 1998 and 2000. Pravilnici i procedure brodskih kompanija</w:t>
            </w:r>
          </w:p>
        </w:tc>
        <w:tc>
          <w:tcPr>
            <w:tcW w:w="3744" w:type="dxa"/>
            <w:gridSpan w:val="15"/>
          </w:tcPr>
          <w:p w14:paraId="6AB10FB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1.</w:t>
            </w:r>
          </w:p>
          <w:p w14:paraId="25B3D97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Vođenje dnevnika (Brodski dnevnik, dnevnik stroja, knjiga o  uljima, knjiga tereta, knjiga manovre, knjiga plovidbenih zapovjedi, GMDSS dnevnik, dnevnik kronometra, knjiga kontrole devijacije, zdrastveni dnevnik, dnevnik smeća, dnevnik radara, knjiga računa, knjiga ispravaka karata, knjiga radio-navigacijskih upozorenja).</w:t>
            </w:r>
          </w:p>
        </w:tc>
      </w:tr>
      <w:tr w:rsidR="00722BB7" w:rsidRPr="00293EE1" w14:paraId="0BA19697" w14:textId="77777777" w:rsidTr="00DF3546">
        <w:trPr>
          <w:trHeight w:val="136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1DDDA6F5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3954" w:type="dxa"/>
            <w:gridSpan w:val="19"/>
          </w:tcPr>
          <w:p w14:paraId="5B5ACC6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2.</w:t>
            </w:r>
          </w:p>
          <w:p w14:paraId="4560B5F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Planiranje putovanja i podjela:</w:t>
            </w:r>
          </w:p>
          <w:p w14:paraId="2A313B5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Plan putovanja (Voyage planning);</w:t>
            </w:r>
          </w:p>
          <w:p w14:paraId="3DBF43F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Plovidba brodom u obalnoj plovidbi i u zonama odvojene plovidbe; Plovidba korištenjem u obalnoj plovidbi i zonama odvojene plovidbe korištenjem ECDIS-a;</w:t>
            </w:r>
          </w:p>
          <w:p w14:paraId="6D9E304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Plovidba brodom s pilotom na brodu;</w:t>
            </w:r>
          </w:p>
          <w:p w14:paraId="68AE97FD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Lista provjere (Check list) / Plovidba brodom u obalnoj plovidbi;</w:t>
            </w:r>
          </w:p>
          <w:p w14:paraId="0D09A55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Lista provjere (Check list) / Plovidba brodom u sigurnim vodama (deep water);</w:t>
            </w:r>
          </w:p>
          <w:p w14:paraId="4618F20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Lista provjere (Check list) / Zapovjednik-Pilot razmjena informacija (Master to Pilot exchange informations).</w:t>
            </w:r>
          </w:p>
          <w:p w14:paraId="460A580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Procjena putovanja; Navigacijska priprema (planiranje) putovanja; Izvršenje putovanja; Nadziranje putovanja.</w:t>
            </w:r>
          </w:p>
        </w:tc>
        <w:tc>
          <w:tcPr>
            <w:tcW w:w="3744" w:type="dxa"/>
            <w:gridSpan w:val="15"/>
          </w:tcPr>
          <w:p w14:paraId="15DEE73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2.</w:t>
            </w:r>
          </w:p>
          <w:p w14:paraId="235831E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Procedure timskog rada na zapovjedničkom mostu.</w:t>
            </w:r>
          </w:p>
          <w:p w14:paraId="097FEC86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Važnost raspodjele ljudskih potencijala na mostu, te izbjegavanje mogućih grešaka u lancu izvršenja i provođenja plana.</w:t>
            </w:r>
          </w:p>
        </w:tc>
      </w:tr>
      <w:tr w:rsidR="00722BB7" w:rsidRPr="00293EE1" w14:paraId="6B621928" w14:textId="77777777" w:rsidTr="00DF3546">
        <w:trPr>
          <w:trHeight w:val="136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511AE463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3954" w:type="dxa"/>
            <w:gridSpan w:val="19"/>
          </w:tcPr>
          <w:p w14:paraId="0FB89963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3.</w:t>
            </w:r>
          </w:p>
          <w:p w14:paraId="37E12243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Neophodne informacije pred početak pripreme plana putovanja, uključujući korištenje ECDIS-a:</w:t>
            </w:r>
          </w:p>
          <w:p w14:paraId="52EC402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Luka odredišta (ili više njih);</w:t>
            </w:r>
          </w:p>
          <w:p w14:paraId="4C64F905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Plovidbeni elementi koji su važni za pripremu plana putovanja, a  temelje se na prethodnim (iskustvima) putovanjima od veza broda luke polaska do pilotske stanice, od pilotske stanice do pilotske </w:t>
            </w:r>
            <w:r w:rsidRPr="00293EE1">
              <w:rPr>
                <w:rFonts w:ascii="Merriweather" w:eastAsia="MS Gothic" w:hAnsi="Merriweather"/>
                <w:sz w:val="18"/>
              </w:rPr>
              <w:lastRenderedPageBreak/>
              <w:t>stanice i pilotske stanice do veza broda luke odredišta;</w:t>
            </w:r>
          </w:p>
          <w:p w14:paraId="58B21626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</w:p>
        </w:tc>
        <w:tc>
          <w:tcPr>
            <w:tcW w:w="3744" w:type="dxa"/>
            <w:gridSpan w:val="15"/>
          </w:tcPr>
          <w:p w14:paraId="430887C5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lastRenderedPageBreak/>
              <w:t>3.</w:t>
            </w:r>
          </w:p>
          <w:p w14:paraId="394D73D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Planiranje i realizacija putovanja u uvjetima smanjene vidljivosti.</w:t>
            </w:r>
          </w:p>
        </w:tc>
      </w:tr>
      <w:tr w:rsidR="00722BB7" w:rsidRPr="00293EE1" w14:paraId="69A4D827" w14:textId="77777777" w:rsidTr="00DF3546">
        <w:trPr>
          <w:trHeight w:val="136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2D6BFEC1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3954" w:type="dxa"/>
            <w:gridSpan w:val="19"/>
          </w:tcPr>
          <w:p w14:paraId="2319094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4.</w:t>
            </w:r>
          </w:p>
          <w:p w14:paraId="1284E5F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Godišnje doba, vjetar, led, cikloni, smanjena vidljivost, morske struje, stanje mora i sl. (Climatic informations);</w:t>
            </w:r>
          </w:p>
          <w:p w14:paraId="0F772F6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Odabir preporučene rute (Ocean Passage for the World, Routeing Charts or Pilot Charts, itd);</w:t>
            </w:r>
          </w:p>
          <w:p w14:paraId="6A61D01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Informacije o mogućem skretanju broda s plovne rute zbog promjene posade, ukrcaja hrane, goriva, rezervnih dijelova i sl.;</w:t>
            </w:r>
          </w:p>
          <w:p w14:paraId="4577F39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Datum i vrijeme polaska broda (ETD), te datum i vrijeme dolaska broda u odredišnu luku (ETA) - pilotska stanica;</w:t>
            </w:r>
          </w:p>
          <w:p w14:paraId="25C9CD4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Mogućnost ukrcaja/iskrcaja tereta u više luka, vrsta i razmještaj tereta po brodskim teretnim prostorima i redoslijed odredišnih luka;</w:t>
            </w:r>
          </w:p>
        </w:tc>
        <w:tc>
          <w:tcPr>
            <w:tcW w:w="3744" w:type="dxa"/>
            <w:gridSpan w:val="15"/>
          </w:tcPr>
          <w:p w14:paraId="49D46D83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4.</w:t>
            </w:r>
          </w:p>
          <w:p w14:paraId="757A233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Korištenje suvremenih pomagala (ARPA, ECDIS, AIS) i primjena pravila za izbjegavanje sudara na moru (COLREG).</w:t>
            </w:r>
          </w:p>
        </w:tc>
      </w:tr>
      <w:tr w:rsidR="00722BB7" w:rsidRPr="00293EE1" w14:paraId="6973FA45" w14:textId="77777777" w:rsidTr="00DF3546">
        <w:trPr>
          <w:trHeight w:val="136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740549C6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3954" w:type="dxa"/>
            <w:gridSpan w:val="19"/>
          </w:tcPr>
          <w:p w14:paraId="09EC299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5.</w:t>
            </w:r>
          </w:p>
          <w:p w14:paraId="4403643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Lokalna pravila plovidbe koja vrijede za pojedine države i njihove luke;</w:t>
            </w:r>
          </w:p>
          <w:p w14:paraId="5129335A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Upotreba navigacijskih karata (i lokalnih) i drugih pomorskih publikacija koje su neophodne za sigurnost plovidbe broda; Upotreba elektroničkih karata i informacijskog sustava ECDIS za pripremu putovanja neophodnu za sigurnost broda; Korištenje dodatnih navigacijskih informacija na ECDIS-u; Poznavanje ograničenja rute ECDIS-; Navigacijska priprema putovanja, planiranje i nadziranje putovanja korištenjem ECDIS-a;</w:t>
            </w:r>
          </w:p>
          <w:p w14:paraId="34A3F09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Korištenje elektroničke karte (ENC) u planiranju rute; postavljanje alarma ECDIS-a, sigurnosne dubine i drugih bitnih parametara za sigurnost broda pri monitoringu rute; Provjera sigurnosnog plana ECDIS-a;</w:t>
            </w:r>
          </w:p>
          <w:p w14:paraId="1050C19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Brodske specifične operacije koje zahtijevaju dodatni morski akvatorij za manevriranje brodom (izmjena balastnih voda, ukrcaj/iskrcaj pilota i sl.).</w:t>
            </w:r>
          </w:p>
        </w:tc>
        <w:tc>
          <w:tcPr>
            <w:tcW w:w="3744" w:type="dxa"/>
            <w:gridSpan w:val="15"/>
          </w:tcPr>
          <w:p w14:paraId="051FB2A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5.</w:t>
            </w:r>
          </w:p>
          <w:p w14:paraId="2C162AC8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Planiranje i realizacija putovanja područjem leda i ledenih bregova, uključujući korištenje ECDIS-a; Otkrivanje leda uz pomoć radara.</w:t>
            </w:r>
          </w:p>
        </w:tc>
      </w:tr>
      <w:tr w:rsidR="00722BB7" w:rsidRPr="00293EE1" w14:paraId="7AE9E432" w14:textId="77777777" w:rsidTr="00DF3546">
        <w:trPr>
          <w:trHeight w:val="136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21550B13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3954" w:type="dxa"/>
            <w:gridSpan w:val="19"/>
          </w:tcPr>
          <w:p w14:paraId="5696A1D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6.</w:t>
            </w:r>
          </w:p>
          <w:p w14:paraId="6BCC331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Procjena putovanja:</w:t>
            </w:r>
          </w:p>
          <w:p w14:paraId="13D1B03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Opće stanje broda, stanje trupa, stanje glavnog/pomoćnog stroja, skladišta / tankova tereta, balastnih tankova, </w:t>
            </w:r>
            <w:r w:rsidRPr="00293EE1">
              <w:rPr>
                <w:rFonts w:ascii="Merriweather" w:eastAsia="MS Gothic" w:hAnsi="Merriweather"/>
                <w:sz w:val="18"/>
              </w:rPr>
              <w:lastRenderedPageBreak/>
              <w:t>stabilnosti, brodske opreme, navigacijskih uređaja i dr.;</w:t>
            </w:r>
          </w:p>
          <w:p w14:paraId="6E62B966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Operacijska (privezna) ograničenja broda (stanje vjetra i valova mora za vrijeme vezivanja i odveza broda);</w:t>
            </w:r>
          </w:p>
          <w:p w14:paraId="5C6F6275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Ograničenja (gaz i brzina broda, visina nadgrađa/ mostovi, širina broda/lokovi) broda prilikom dolaska (odlaska) u pojedine luke;</w:t>
            </w:r>
          </w:p>
          <w:p w14:paraId="38210BA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Manevarske značajke broda (vrijeme zaustavljanja i duljina zaustavnog puta, krug okretanja, vrijeme prebacivanja stroja iz hoda naprijed u hod krmom i obrnuto i sl.);</w:t>
            </w:r>
          </w:p>
          <w:p w14:paraId="66C7F34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Karakteristike tereta kojeg prevozimo, te ako se radi o opasnim teretima koja ograničenja treba poštovati;</w:t>
            </w:r>
          </w:p>
          <w:p w14:paraId="1FCC07AA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Količina i razmještaj tereta i dali je teret na palubi posebno osiguran prije početka putovanja;</w:t>
            </w:r>
          </w:p>
          <w:p w14:paraId="714ED2A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Brodske svjedodžbe i njihova valjanost;</w:t>
            </w:r>
          </w:p>
          <w:p w14:paraId="77F559D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Navigacijske opasnosti plovnog akvatorija, odnosno postojeća radio-navigacijska upozorenja za planirano područja plovidbe (led, nasukanja, podrtine, svjetionici, plutače i dr.); </w:t>
            </w:r>
          </w:p>
          <w:p w14:paraId="1A83837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Zalihe i potrebna količina goriva, vode i ulja za naredno putovanje;</w:t>
            </w:r>
          </w:p>
          <w:p w14:paraId="42572C4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Navigacijske i brodske publikacije koje će biti upotrijebljene tijekom pripremanja i izvršenja planiranog putovanja.</w:t>
            </w:r>
          </w:p>
        </w:tc>
        <w:tc>
          <w:tcPr>
            <w:tcW w:w="3744" w:type="dxa"/>
            <w:gridSpan w:val="15"/>
          </w:tcPr>
          <w:p w14:paraId="254B1EB3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lastRenderedPageBreak/>
              <w:t>6.</w:t>
            </w:r>
          </w:p>
          <w:p w14:paraId="4DE5909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Sposobnosti izbora rute uzimajući u obzir udaljenost, stanje vjetra i struja, leda, lošeg vremena, vrstu i stanje tereta, plovidba područjem granica obzirom na teretnu liniju, itd. Pravilno </w:t>
            </w:r>
            <w:r w:rsidRPr="00293EE1">
              <w:rPr>
                <w:rFonts w:ascii="Merriweather" w:eastAsia="MS Gothic" w:hAnsi="Merriweather"/>
                <w:sz w:val="18"/>
              </w:rPr>
              <w:lastRenderedPageBreak/>
              <w:t>čitanje vremenskih prognoza i izbor odgovarajućih priručnika.</w:t>
            </w:r>
          </w:p>
        </w:tc>
      </w:tr>
      <w:tr w:rsidR="00722BB7" w:rsidRPr="00293EE1" w14:paraId="55F91944" w14:textId="77777777" w:rsidTr="00DF3546">
        <w:trPr>
          <w:trHeight w:val="136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79E45A75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3954" w:type="dxa"/>
            <w:gridSpan w:val="19"/>
          </w:tcPr>
          <w:p w14:paraId="486F23E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7.</w:t>
            </w:r>
          </w:p>
          <w:p w14:paraId="6AC22AD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Navigacijska priprema putovanja (prvi dio):</w:t>
            </w:r>
          </w:p>
          <w:p w14:paraId="35F1671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Crtanje kurseva i udaljenosti na navigacijskim kartama različitih razmjera;</w:t>
            </w:r>
          </w:p>
          <w:p w14:paraId="090CF563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Označavanje plovnog područja opasnog za navigaciju, a koje se nalazi na plovidbenoj ruti ili blizu nje;</w:t>
            </w:r>
          </w:p>
          <w:p w14:paraId="512E9F7F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Označavanje radnih kanala VHF/HF (frekvencija) Obalnih radio stanica na plovidbenoj ruti, kao i ucrtavanje pozicije javljanja prema Obalnim radio stanicama - VTS (Vessel Trafic Service) s radnim kanalima i informacijama za izvještavanje;</w:t>
            </w:r>
          </w:p>
          <w:p w14:paraId="04A99E63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Označavanje sigurnosne brzine, a u ograničenim plovnim područjima i ucrtavanje zamjenskih (alternativnih) kurseva plovidbe broda, te sidrišta za nuždu;</w:t>
            </w:r>
          </w:p>
          <w:p w14:paraId="7A2DE7DF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lastRenderedPageBreak/>
              <w:t>Označavanje područja ograničenih dubinama mora u kojima se očekuje minimalna udaljenost između trupa broda i dna mora (Under Keel Clearance);</w:t>
            </w:r>
          </w:p>
          <w:p w14:paraId="4E2540C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Označiti plovna područja u kojima se očekuje povećani promet brodova (stand by Engine);</w:t>
            </w:r>
          </w:p>
          <w:p w14:paraId="063332B8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Radio navigacijska upozorenja moraju biti prikačena (ispis) i označena na kartama;  </w:t>
            </w:r>
          </w:p>
          <w:p w14:paraId="752D6C3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Pripremljena tablica putovanja (Passage Plan) za brod od veza polazne luke do pilotske stanice, od pilotske stanice polazne luke do pilotske stanice dolazne luke i od pilotske stanice dolazne luke do veza luke odredišta;</w:t>
            </w:r>
          </w:p>
          <w:p w14:paraId="6A9CB29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Priprema tablice za promjenu brodskog vremena, obzirom na očekivani prolazak brodom kroz vremenske zone s  datumima kada će te promjene biti obavljene;</w:t>
            </w:r>
          </w:p>
          <w:p w14:paraId="187B875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Priprema tablice ETA s tri različite srednje brzine plovidbe broda tijekom putovanja;</w:t>
            </w:r>
          </w:p>
        </w:tc>
        <w:tc>
          <w:tcPr>
            <w:tcW w:w="3744" w:type="dxa"/>
            <w:gridSpan w:val="15"/>
          </w:tcPr>
          <w:p w14:paraId="560421E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lastRenderedPageBreak/>
              <w:t>7.</w:t>
            </w:r>
          </w:p>
          <w:p w14:paraId="7796243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Objašnjenje i demonstracija osnovnih principa Weather Routing.</w:t>
            </w:r>
          </w:p>
        </w:tc>
      </w:tr>
      <w:tr w:rsidR="00722BB7" w:rsidRPr="00293EE1" w14:paraId="7B0B3018" w14:textId="77777777" w:rsidTr="00DF3546">
        <w:trPr>
          <w:trHeight w:val="136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504B2F20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3954" w:type="dxa"/>
            <w:gridSpan w:val="19"/>
          </w:tcPr>
          <w:p w14:paraId="6F5BCE4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8.</w:t>
            </w:r>
          </w:p>
          <w:p w14:paraId="3004F945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Navigacijska priprema putovanja (drugi dio):</w:t>
            </w:r>
          </w:p>
          <w:p w14:paraId="49DB9B9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Priprema Bridge Team sastanka (Bridge Team Meeting);</w:t>
            </w:r>
          </w:p>
          <w:p w14:paraId="08EBD8C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Provjera ispravnost navigacijskih uređaja, navigacijskih i signalnih svjetala;</w:t>
            </w:r>
          </w:p>
          <w:p w14:paraId="5AE9031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Priprema pilotske forme (Pilot Card) – razmjena informacija između zapovjednika i pilota;</w:t>
            </w:r>
          </w:p>
          <w:p w14:paraId="38297D2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Ispunjavanje pred polazak broda sigurnosnu listu provjere (Pre departure Safety Checklist);</w:t>
            </w:r>
          </w:p>
          <w:p w14:paraId="2AB3002F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Način testiranja telegrafa stroja prije početka putovanja i pramčanog propelera (bow thruster);</w:t>
            </w:r>
          </w:p>
          <w:p w14:paraId="301ADBB3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Ispunjavanje liste provjere plana putovanja (Voyage Planing Cheklist);</w:t>
            </w:r>
          </w:p>
          <w:p w14:paraId="116B269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Proračun stabiliteta za luku polaska i za luku dolaska;</w:t>
            </w:r>
          </w:p>
          <w:p w14:paraId="56B42A0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Načini izmjene balastnih voda tijekom putovanja - Exchange Water Ballast;</w:t>
            </w:r>
          </w:p>
          <w:p w14:paraId="58BDFB3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Priprema izvještaja o stanju balastnih tankova – Water Ballast report.</w:t>
            </w:r>
          </w:p>
        </w:tc>
        <w:tc>
          <w:tcPr>
            <w:tcW w:w="3744" w:type="dxa"/>
            <w:gridSpan w:val="15"/>
          </w:tcPr>
          <w:p w14:paraId="0B5BDD5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8.</w:t>
            </w:r>
          </w:p>
          <w:p w14:paraId="5E479425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Izbor oceanske rute. Praktično korištenje i rad na brodskom programu BRIDGE ili SPOS za svakodnevno praćenje stanja vremena, te u skladu sa tim izbjegavanje opasnosti i lošeg vremena. Navigacijske procedure ISM.</w:t>
            </w:r>
          </w:p>
        </w:tc>
      </w:tr>
      <w:tr w:rsidR="00722BB7" w:rsidRPr="00293EE1" w14:paraId="358B88FD" w14:textId="77777777" w:rsidTr="00DF3546">
        <w:trPr>
          <w:trHeight w:val="136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7741150E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3954" w:type="dxa"/>
            <w:gridSpan w:val="19"/>
          </w:tcPr>
          <w:p w14:paraId="16D1C288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9.</w:t>
            </w:r>
          </w:p>
          <w:p w14:paraId="0820AC68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Navigacijska priprema putovanja (treći dio):</w:t>
            </w:r>
          </w:p>
          <w:p w14:paraId="6882D2D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Deklaracija o sigurnosti – DOS, Ship to ship;</w:t>
            </w:r>
          </w:p>
          <w:p w14:paraId="7DDE8F3D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lastRenderedPageBreak/>
              <w:t>Deklaracija o sigurnosti – DOS, Ship to port facility;</w:t>
            </w:r>
          </w:p>
          <w:p w14:paraId="5E2A05E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Proračun ETA-e za dolazak broda na pojedine točke okreta (WP) koji se ucrtavaju na plovidbenoj ruti;</w:t>
            </w:r>
          </w:p>
          <w:p w14:paraId="0D315AB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Priprema planova za prolaz kanalima, prilazi lukama i sigurnim sidrištima, odnosno sidrištima za nuždu;</w:t>
            </w:r>
          </w:p>
          <w:p w14:paraId="3972ED1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Označavanje pozicije na kojima možemo bacati smeće u more;</w:t>
            </w:r>
          </w:p>
          <w:p w14:paraId="08FF2CF5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Upisivanje točke okreta (WP) u ECDIS;</w:t>
            </w:r>
          </w:p>
          <w:p w14:paraId="406C680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Upisivanje točke okreta (WP) u D/GPS prijemnike;</w:t>
            </w:r>
          </w:p>
          <w:p w14:paraId="19E0ABA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Podešavanje žiro kompasa i njegovih ponavljača; </w:t>
            </w:r>
          </w:p>
          <w:p w14:paraId="5B25822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Testiranje radara, dubinomjera i kursografa;</w:t>
            </w:r>
          </w:p>
          <w:p w14:paraId="48FEE843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Testiranje GMDSS uređaja; </w:t>
            </w:r>
          </w:p>
          <w:p w14:paraId="762120DD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Testiranje uređaja za automatsku identifikaciju plovnih objekata - AIS (Automaitc Indentification System);</w:t>
            </w:r>
          </w:p>
          <w:p w14:paraId="6FF6A5E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Provjera kormilarskog uređaja i njegove operacijske funkcionalnosti (lokalno i s komandnog mosta);</w:t>
            </w:r>
          </w:p>
          <w:p w14:paraId="6447BD93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Podešavanje uređaja za primanje meteo-izvještaja (Weather Fascimila) i uređaja NAVTEX-a za prijem navigacijskih informacija određenih za planirano plovno područje od luke polaska do luke dolaska;</w:t>
            </w:r>
          </w:p>
          <w:p w14:paraId="2F4099D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Meteo izvještaj s putanjama ciklona i anticiklona, koji se ucrtava na navigacijskim kartama.</w:t>
            </w:r>
          </w:p>
        </w:tc>
        <w:tc>
          <w:tcPr>
            <w:tcW w:w="3744" w:type="dxa"/>
            <w:gridSpan w:val="15"/>
          </w:tcPr>
          <w:p w14:paraId="5C5A234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lastRenderedPageBreak/>
              <w:t>9.</w:t>
            </w:r>
          </w:p>
          <w:p w14:paraId="0908E6D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Izrada plana putovanja. Izbor rute i ucrtavanje kursova na navigacijsku kartu. Neposredna priprema broda za isplovljenje. Navigacijske procedure ISM.</w:t>
            </w:r>
          </w:p>
        </w:tc>
      </w:tr>
      <w:tr w:rsidR="00722BB7" w:rsidRPr="00293EE1" w14:paraId="07F31DE1" w14:textId="77777777" w:rsidTr="00DF3546">
        <w:trPr>
          <w:trHeight w:val="136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45131A11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3954" w:type="dxa"/>
            <w:gridSpan w:val="19"/>
          </w:tcPr>
          <w:p w14:paraId="08DBD4F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10.</w:t>
            </w:r>
          </w:p>
          <w:p w14:paraId="7485086D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Liste provjere (Check Lists):</w:t>
            </w:r>
          </w:p>
          <w:p w14:paraId="2EA1268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Voyage Planing Checklist;</w:t>
            </w:r>
          </w:p>
          <w:p w14:paraId="774EBB5D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Master to Pilot Exchange Informations Check List;</w:t>
            </w:r>
          </w:p>
          <w:p w14:paraId="2276C7D6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Pilot Card;</w:t>
            </w:r>
          </w:p>
          <w:p w14:paraId="41DD29B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Wheelhouse poster;</w:t>
            </w:r>
          </w:p>
          <w:p w14:paraId="5C955A0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VTS (Vessel Trafic Services) tablica.</w:t>
            </w:r>
          </w:p>
        </w:tc>
        <w:tc>
          <w:tcPr>
            <w:tcW w:w="3744" w:type="dxa"/>
            <w:gridSpan w:val="15"/>
          </w:tcPr>
          <w:p w14:paraId="68AC43AA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10.</w:t>
            </w:r>
          </w:p>
          <w:p w14:paraId="33ACD1A3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Izbor rute i crtanje kursova na ECDIS sustavu. Postavljanje alarma i ispis plana putovanja.</w:t>
            </w:r>
          </w:p>
        </w:tc>
      </w:tr>
      <w:tr w:rsidR="00722BB7" w:rsidRPr="00293EE1" w14:paraId="01C6EE74" w14:textId="77777777" w:rsidTr="00DF3546">
        <w:trPr>
          <w:trHeight w:val="136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14CDF50B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3954" w:type="dxa"/>
            <w:gridSpan w:val="19"/>
          </w:tcPr>
          <w:p w14:paraId="3C3E523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11.</w:t>
            </w:r>
          </w:p>
          <w:p w14:paraId="3DE573D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Planiranje obalnog putovanja:</w:t>
            </w:r>
          </w:p>
          <w:p w14:paraId="269A6AE8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Određivanje najpovoljnijeg kursa  broda;</w:t>
            </w:r>
          </w:p>
          <w:p w14:paraId="0D0411AA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Točka okreta (WP);</w:t>
            </w:r>
          </w:p>
          <w:p w14:paraId="70264FE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No-Go područja;</w:t>
            </w:r>
          </w:p>
          <w:p w14:paraId="08D3D35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Linije granice sigurnosti;</w:t>
            </w:r>
          </w:p>
          <w:p w14:paraId="415E9D1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Azimuti i udaljenosti;</w:t>
            </w:r>
          </w:p>
          <w:p w14:paraId="65BCA2CA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Minimalna udaljenost prolaza (obale, pličine, podrtine, platforme  i sl.);</w:t>
            </w:r>
          </w:p>
          <w:p w14:paraId="10BE04C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Proračunata točka okreta broda (WOP);</w:t>
            </w:r>
          </w:p>
          <w:p w14:paraId="64C97D76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lastRenderedPageBreak/>
              <w:t>Paralelni indeksi;</w:t>
            </w:r>
          </w:p>
          <w:p w14:paraId="20DF02C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Udaljenost između trupa broda i dna;</w:t>
            </w:r>
          </w:p>
          <w:p w14:paraId="267AE0F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Plovna područja izmjene većih amplitude morskih mijena;</w:t>
            </w:r>
          </w:p>
          <w:p w14:paraId="5314440F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Pozicija odustajanja nastavka planiranog putovanja;</w:t>
            </w:r>
          </w:p>
          <w:p w14:paraId="4B83CA5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Alternativni kursovi;</w:t>
            </w:r>
          </w:p>
          <w:p w14:paraId="19F7469A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Sidrišta za nuždu;</w:t>
            </w:r>
          </w:p>
          <w:p w14:paraId="3E5C3C3D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Pozicija na kojoj nije moguć povratak ili značajniji okret brodom.</w:t>
            </w:r>
          </w:p>
        </w:tc>
        <w:tc>
          <w:tcPr>
            <w:tcW w:w="3744" w:type="dxa"/>
            <w:gridSpan w:val="15"/>
          </w:tcPr>
          <w:p w14:paraId="737FD62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lastRenderedPageBreak/>
              <w:t>11.</w:t>
            </w:r>
          </w:p>
          <w:p w14:paraId="0A46DEBA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Realizacija plana putovanja. Nadzor provedbe plana putovanja, izmjene i dopune plana putovanja. ISM postupci. Praćenje kretanja broda uz pomoć ARPA/ECDIS sustava.</w:t>
            </w:r>
          </w:p>
          <w:p w14:paraId="5BDB292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Sustav obveznog javljanja brodova.</w:t>
            </w:r>
          </w:p>
        </w:tc>
      </w:tr>
      <w:tr w:rsidR="00722BB7" w:rsidRPr="00293EE1" w14:paraId="6DC8B1D3" w14:textId="77777777" w:rsidTr="00DF3546">
        <w:trPr>
          <w:trHeight w:val="136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47B6827A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3954" w:type="dxa"/>
            <w:gridSpan w:val="19"/>
          </w:tcPr>
          <w:p w14:paraId="3FB84DDA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12.</w:t>
            </w:r>
          </w:p>
          <w:p w14:paraId="1C8F7246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Izvršenje plana putovanja:</w:t>
            </w:r>
          </w:p>
          <w:p w14:paraId="461FA53F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Kratko izlaganje;</w:t>
            </w:r>
          </w:p>
          <w:p w14:paraId="4713361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Pripremanje putovanja;</w:t>
            </w:r>
          </w:p>
          <w:p w14:paraId="470F89F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Izmjene plana (Plan Modification) putovanja;</w:t>
            </w:r>
          </w:p>
          <w:p w14:paraId="3A2BBE1D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Dodatna osoba na komandnom mostu ili na palubi (Additional Personnel).</w:t>
            </w:r>
          </w:p>
        </w:tc>
        <w:tc>
          <w:tcPr>
            <w:tcW w:w="3744" w:type="dxa"/>
            <w:gridSpan w:val="15"/>
          </w:tcPr>
          <w:p w14:paraId="3B29370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12.</w:t>
            </w:r>
          </w:p>
          <w:p w14:paraId="3730CEE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Neposredna priprema pred uplovljenje/sidrenje. Dovođenje broda do pilotske stanice/točke sidrenja. Dovođenje broda do veza; korištenje ECDIS/ARPA sustava.</w:t>
            </w:r>
          </w:p>
          <w:p w14:paraId="667D3E3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Plovidba s peljarom. ISM Postupci.</w:t>
            </w:r>
          </w:p>
        </w:tc>
      </w:tr>
      <w:tr w:rsidR="00722BB7" w:rsidRPr="00293EE1" w14:paraId="727E4A5A" w14:textId="77777777" w:rsidTr="00DF3546">
        <w:trPr>
          <w:trHeight w:val="136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475AD06E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3954" w:type="dxa"/>
            <w:gridSpan w:val="19"/>
          </w:tcPr>
          <w:p w14:paraId="01FAF1A5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13.</w:t>
            </w:r>
          </w:p>
          <w:p w14:paraId="1314E6B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Nadziranje putovanja:</w:t>
            </w:r>
          </w:p>
          <w:p w14:paraId="23E3AE8F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Metoda učestalog određivanja pozicije broda (Fixing Metod); </w:t>
            </w:r>
          </w:p>
          <w:p w14:paraId="70AC77A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Vremenski interval (Frequency) određivanja / ucrtavanja pozicije broda; </w:t>
            </w:r>
          </w:p>
          <w:p w14:paraId="2376CAA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Točnost (Regularity) određivanja i ucrtavanja pozicije broda;</w:t>
            </w:r>
          </w:p>
        </w:tc>
        <w:tc>
          <w:tcPr>
            <w:tcW w:w="3744" w:type="dxa"/>
            <w:gridSpan w:val="15"/>
          </w:tcPr>
          <w:p w14:paraId="1F49877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13.</w:t>
            </w:r>
          </w:p>
          <w:p w14:paraId="62DDCFEB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Pomoćne metode za sigurnu plovidbu (siguran azimut i pokriveni smjer, sigurne izobate, sigurna udaljenost, siguran vertikalni i horizontalni kut, siguran kurs, obilaženje  rtova, točka izmjene kursa broda); paralelno korištenje papirnatih karata i ARPA/ECDIS sustava,</w:t>
            </w:r>
          </w:p>
        </w:tc>
      </w:tr>
      <w:tr w:rsidR="00722BB7" w:rsidRPr="00293EE1" w14:paraId="4FEF18B7" w14:textId="77777777" w:rsidTr="00DF3546">
        <w:trPr>
          <w:trHeight w:val="136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71F752AE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3954" w:type="dxa"/>
            <w:gridSpan w:val="19"/>
          </w:tcPr>
          <w:p w14:paraId="382BE44F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14.</w:t>
            </w:r>
          </w:p>
          <w:p w14:paraId="06E2715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Predviđena (procijenjena) pozicija broda (estimated position);</w:t>
            </w:r>
          </w:p>
          <w:p w14:paraId="382394EA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Mjerenje dubine mora;</w:t>
            </w:r>
          </w:p>
          <w:p w14:paraId="48149B3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Sektor svjetionika (Light sectors).</w:t>
            </w:r>
          </w:p>
        </w:tc>
        <w:tc>
          <w:tcPr>
            <w:tcW w:w="3744" w:type="dxa"/>
            <w:gridSpan w:val="15"/>
          </w:tcPr>
          <w:p w14:paraId="59936E63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14.</w:t>
            </w:r>
          </w:p>
          <w:p w14:paraId="07FEAAE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Utjecaj performansi navigacijskih uređaja na planiranje pomorske plovidbe. GPS; DGPS, ECDIS, ARPA, GMDSS,... Tehnološka podrška brodovima u plovidbi (radijska služba, svjetska služba upozoravanja brodova u plovidbi - NAVAREA, navigacijska podrška).</w:t>
            </w:r>
          </w:p>
        </w:tc>
      </w:tr>
      <w:tr w:rsidR="00722BB7" w:rsidRPr="00293EE1" w14:paraId="2A68AB76" w14:textId="77777777" w:rsidTr="00DF3546">
        <w:trPr>
          <w:trHeight w:val="136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2293F22F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3954" w:type="dxa"/>
            <w:gridSpan w:val="19"/>
          </w:tcPr>
          <w:p w14:paraId="20BEB66A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15.</w:t>
            </w:r>
          </w:p>
          <w:p w14:paraId="4F68C2F8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Bridge Team Management:</w:t>
            </w:r>
          </w:p>
          <w:p w14:paraId="010C825C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Optuživanje (blame culture);</w:t>
            </w:r>
          </w:p>
          <w:p w14:paraId="57F1A3DD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Prekid komunikacije (communication breakdown);</w:t>
            </w:r>
          </w:p>
          <w:p w14:paraId="6C284813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Nejasnost, neopredjeljenost i dvosmislenost (ambiguity);</w:t>
            </w:r>
          </w:p>
          <w:p w14:paraId="6061F0B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Zbunjenost (distraction);</w:t>
            </w:r>
          </w:p>
          <w:p w14:paraId="285BB6C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Stres (stress);</w:t>
            </w:r>
          </w:p>
          <w:p w14:paraId="6180C40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Kriva zapovijed ili nedovoljno osmatranje (improper command or lookout);</w:t>
            </w:r>
          </w:p>
          <w:p w14:paraId="23ECBCB9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Nepoštivanje plana putovanja (non compliance with Voyage plan);</w:t>
            </w:r>
          </w:p>
          <w:p w14:paraId="4C10D4E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Nepoštivanje procedura (procedural violation).</w:t>
            </w:r>
          </w:p>
        </w:tc>
        <w:tc>
          <w:tcPr>
            <w:tcW w:w="3744" w:type="dxa"/>
            <w:gridSpan w:val="15"/>
          </w:tcPr>
          <w:p w14:paraId="3CC5927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15.</w:t>
            </w:r>
          </w:p>
          <w:p w14:paraId="0291B20F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Planiranje i realizacija putovanja područjem gustog prometa, VTS područjem, u blizini obale, ratnim područjem i područjem pirata. Korištenje suvremenih pomagala (ARPA, ECDIS, AIS) i primjena pravila za izbjegavanje sudara na moru (COLREG).</w:t>
            </w:r>
          </w:p>
        </w:tc>
      </w:tr>
      <w:tr w:rsidR="00722BB7" w:rsidRPr="00293EE1" w14:paraId="5B6FB3DD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0C86A8B0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lastRenderedPageBreak/>
              <w:t>Obvezna literatura</w:t>
            </w:r>
          </w:p>
        </w:tc>
        <w:tc>
          <w:tcPr>
            <w:tcW w:w="7698" w:type="dxa"/>
            <w:gridSpan w:val="34"/>
          </w:tcPr>
          <w:p w14:paraId="250211C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D. Zec – Planiranje pomorske plovidbe</w:t>
            </w:r>
          </w:p>
        </w:tc>
      </w:tr>
      <w:tr w:rsidR="00722BB7" w:rsidRPr="00293EE1" w14:paraId="5D3724E4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6753F934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 xml:space="preserve">Dodatna literatura </w:t>
            </w:r>
          </w:p>
        </w:tc>
        <w:tc>
          <w:tcPr>
            <w:tcW w:w="7698" w:type="dxa"/>
            <w:gridSpan w:val="34"/>
          </w:tcPr>
          <w:p w14:paraId="1B8C2A8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Benković F., Piškorec M., Lako Lj., Čepelak K., Stajić D. – Terestrička</w:t>
            </w:r>
            <w:r>
              <w:rPr>
                <w:rFonts w:ascii="Merriweather" w:eastAsia="MS Gothic" w:hAnsi="Merriweather"/>
                <w:sz w:val="18"/>
              </w:rPr>
              <w:t xml:space="preserve"> </w:t>
            </w:r>
            <w:r w:rsidRPr="00293EE1">
              <w:rPr>
                <w:rFonts w:ascii="Merriweather" w:eastAsia="MS Gothic" w:hAnsi="Merriweather"/>
                <w:sz w:val="18"/>
              </w:rPr>
              <w:t>i elektronska navigacija</w:t>
            </w:r>
          </w:p>
          <w:p w14:paraId="6B47CFA2" w14:textId="77777777" w:rsidR="00722BB7" w:rsidRPr="00293EE1" w:rsidRDefault="00722BB7" w:rsidP="00DF3546">
            <w:pPr>
              <w:tabs>
                <w:tab w:val="left" w:pos="5672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ab/>
            </w:r>
          </w:p>
          <w:p w14:paraId="3CF57735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Bridge Procedures Guide, International Chamber of Shipping.</w:t>
            </w:r>
          </w:p>
          <w:p w14:paraId="2FEB01C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Capt. A.J. Swift: Bridge Team Management, a Practical Guide, The Nautical Institute</w:t>
            </w:r>
          </w:p>
          <w:p w14:paraId="65AEDFE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The Mariner's Handbook, United Kingdom Hydrographic Office, England.</w:t>
            </w:r>
          </w:p>
          <w:p w14:paraId="00D0101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</w:p>
          <w:p w14:paraId="4904EE4F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HHI – Peljar I. Jadransko more – Istočna obala, 2012.</w:t>
            </w:r>
          </w:p>
        </w:tc>
      </w:tr>
      <w:tr w:rsidR="00722BB7" w:rsidRPr="00293EE1" w14:paraId="19A1311C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278F1C1E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 xml:space="preserve">Mrežni izvori </w:t>
            </w:r>
          </w:p>
        </w:tc>
        <w:tc>
          <w:tcPr>
            <w:tcW w:w="7698" w:type="dxa"/>
            <w:gridSpan w:val="34"/>
          </w:tcPr>
          <w:p w14:paraId="383663D8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E-kolegij na sustavu za e-učenje ''Merlin''</w:t>
            </w:r>
          </w:p>
        </w:tc>
      </w:tr>
      <w:tr w:rsidR="00722BB7" w:rsidRPr="00293EE1" w14:paraId="7F68E80C" w14:textId="77777777" w:rsidTr="00DF3546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57E5B844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Provjera ishoda učenja (prema uputama AZVO)</w:t>
            </w:r>
          </w:p>
        </w:tc>
        <w:tc>
          <w:tcPr>
            <w:tcW w:w="5965" w:type="dxa"/>
            <w:gridSpan w:val="27"/>
          </w:tcPr>
          <w:p w14:paraId="22DAF247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3" w:type="dxa"/>
            <w:gridSpan w:val="7"/>
          </w:tcPr>
          <w:p w14:paraId="448D650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/>
                <w:sz w:val="18"/>
              </w:rPr>
            </w:pPr>
          </w:p>
        </w:tc>
      </w:tr>
      <w:tr w:rsidR="00722BB7" w:rsidRPr="00293EE1" w14:paraId="33AAED5B" w14:textId="77777777" w:rsidTr="00DF3546">
        <w:tc>
          <w:tcPr>
            <w:tcW w:w="1801" w:type="dxa"/>
            <w:vMerge/>
            <w:shd w:val="clear" w:color="auto" w:fill="F2F2F2" w:themeFill="background1" w:themeFillShade="F2"/>
          </w:tcPr>
          <w:p w14:paraId="769B0AE5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2291" w:type="dxa"/>
            <w:gridSpan w:val="11"/>
            <w:vAlign w:val="center"/>
          </w:tcPr>
          <w:p w14:paraId="34FDDAD1" w14:textId="77777777" w:rsidR="00722BB7" w:rsidRPr="00293EE1" w:rsidRDefault="00722BB7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90546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završni</w:t>
            </w:r>
          </w:p>
          <w:p w14:paraId="09C065DC" w14:textId="77777777" w:rsidR="00722BB7" w:rsidRPr="00293EE1" w:rsidRDefault="00722BB7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35106BE9" w14:textId="77777777" w:rsidR="00722BB7" w:rsidRPr="00293EE1" w:rsidRDefault="00722BB7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629363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završni</w:t>
            </w:r>
          </w:p>
          <w:p w14:paraId="52088BF5" w14:textId="77777777" w:rsidR="00722BB7" w:rsidRPr="00293EE1" w:rsidRDefault="00722BB7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usmeni ispit</w:t>
            </w:r>
          </w:p>
        </w:tc>
        <w:tc>
          <w:tcPr>
            <w:tcW w:w="1812" w:type="dxa"/>
            <w:gridSpan w:val="7"/>
            <w:vAlign w:val="center"/>
          </w:tcPr>
          <w:p w14:paraId="2CEE0654" w14:textId="77777777" w:rsidR="00722BB7" w:rsidRPr="00293EE1" w:rsidRDefault="00722BB7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2864824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pismeni i usmeni završni ispit</w:t>
            </w:r>
          </w:p>
        </w:tc>
        <w:tc>
          <w:tcPr>
            <w:tcW w:w="1733" w:type="dxa"/>
            <w:gridSpan w:val="7"/>
            <w:vAlign w:val="center"/>
          </w:tcPr>
          <w:p w14:paraId="42759391" w14:textId="77777777" w:rsidR="00722BB7" w:rsidRPr="00293EE1" w:rsidRDefault="00722BB7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384918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praktični rad i završni ispit</w:t>
            </w:r>
          </w:p>
        </w:tc>
      </w:tr>
      <w:tr w:rsidR="00722BB7" w:rsidRPr="00293EE1" w14:paraId="5F750CE0" w14:textId="77777777" w:rsidTr="00DF3546">
        <w:tc>
          <w:tcPr>
            <w:tcW w:w="1801" w:type="dxa"/>
            <w:vMerge/>
            <w:shd w:val="clear" w:color="auto" w:fill="F2F2F2" w:themeFill="background1" w:themeFillShade="F2"/>
          </w:tcPr>
          <w:p w14:paraId="3F608111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1493" w:type="dxa"/>
            <w:gridSpan w:val="6"/>
            <w:vAlign w:val="center"/>
          </w:tcPr>
          <w:p w14:paraId="74444E2D" w14:textId="77777777" w:rsidR="00722BB7" w:rsidRPr="00293EE1" w:rsidRDefault="00722BB7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2086180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samo kolokvij/zadaće</w:t>
            </w:r>
          </w:p>
        </w:tc>
        <w:tc>
          <w:tcPr>
            <w:tcW w:w="1506" w:type="dxa"/>
            <w:gridSpan w:val="8"/>
            <w:vAlign w:val="center"/>
          </w:tcPr>
          <w:p w14:paraId="7B780EDA" w14:textId="77777777" w:rsidR="00722BB7" w:rsidRPr="00293EE1" w:rsidRDefault="00722BB7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2861128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47DEC0CC" w14:textId="77777777" w:rsidR="00722BB7" w:rsidRPr="00293EE1" w:rsidRDefault="00722BB7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809554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seminarski</w:t>
            </w:r>
          </w:p>
          <w:p w14:paraId="479738D6" w14:textId="77777777" w:rsidR="00722BB7" w:rsidRPr="00293EE1" w:rsidRDefault="00722BB7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0F6C44B5" w14:textId="77777777" w:rsidR="00722BB7" w:rsidRPr="00293EE1" w:rsidRDefault="00722BB7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817296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seminarski</w:t>
            </w:r>
          </w:p>
          <w:p w14:paraId="47949ADC" w14:textId="77777777" w:rsidR="00722BB7" w:rsidRPr="00293EE1" w:rsidRDefault="00722BB7" w:rsidP="00DF3546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2B05D239" w14:textId="77777777" w:rsidR="00722BB7" w:rsidRPr="00293EE1" w:rsidRDefault="00722BB7" w:rsidP="00DF3546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8583344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praktični rad</w:t>
            </w:r>
          </w:p>
        </w:tc>
        <w:tc>
          <w:tcPr>
            <w:tcW w:w="1184" w:type="dxa"/>
            <w:gridSpan w:val="2"/>
            <w:vAlign w:val="center"/>
          </w:tcPr>
          <w:p w14:paraId="195EA88E" w14:textId="77777777" w:rsidR="00722BB7" w:rsidRPr="00293EE1" w:rsidRDefault="00722BB7" w:rsidP="00DF3546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/>
                <w:sz w:val="18"/>
                <w:szCs w:val="18"/>
                <w:lang w:eastAsia="hr-HR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38751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</w:t>
            </w:r>
            <w:r w:rsidRPr="00293EE1">
              <w:rPr>
                <w:rFonts w:ascii="Merriweather" w:hAnsi="Merriweather"/>
                <w:sz w:val="18"/>
                <w:szCs w:val="18"/>
                <w:lang w:eastAsia="hr-HR"/>
              </w:rPr>
              <w:t>drugi oblici</w:t>
            </w:r>
          </w:p>
        </w:tc>
      </w:tr>
      <w:tr w:rsidR="00722BB7" w:rsidRPr="00293EE1" w14:paraId="1417D57A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287BDD8B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Način formiranja završne ocjene (%)</w:t>
            </w:r>
          </w:p>
        </w:tc>
        <w:tc>
          <w:tcPr>
            <w:tcW w:w="7698" w:type="dxa"/>
            <w:gridSpan w:val="34"/>
            <w:vAlign w:val="center"/>
          </w:tcPr>
          <w:p w14:paraId="32EEF41D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30% kolokvij, 30% praktični rad, 40% završni ispit</w:t>
            </w:r>
          </w:p>
        </w:tc>
      </w:tr>
      <w:tr w:rsidR="00722BB7" w:rsidRPr="00293EE1" w14:paraId="179732E5" w14:textId="77777777" w:rsidTr="00DF3546">
        <w:tc>
          <w:tcPr>
            <w:tcW w:w="1801" w:type="dxa"/>
            <w:vMerge w:val="restart"/>
            <w:shd w:val="clear" w:color="auto" w:fill="F2F2F2" w:themeFill="background1" w:themeFillShade="F2"/>
          </w:tcPr>
          <w:p w14:paraId="71657419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 xml:space="preserve">Ocjenjivanje </w:t>
            </w:r>
          </w:p>
          <w:p w14:paraId="5C23C78F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/upisati postotak ili broj bodova za elemente koji se ocjenjuju/</w:t>
            </w:r>
          </w:p>
        </w:tc>
        <w:tc>
          <w:tcPr>
            <w:tcW w:w="1207" w:type="dxa"/>
            <w:gridSpan w:val="4"/>
            <w:vAlign w:val="center"/>
          </w:tcPr>
          <w:p w14:paraId="63ABA91D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0-59</w:t>
            </w:r>
          </w:p>
        </w:tc>
        <w:tc>
          <w:tcPr>
            <w:tcW w:w="6491" w:type="dxa"/>
            <w:gridSpan w:val="30"/>
            <w:vAlign w:val="center"/>
          </w:tcPr>
          <w:p w14:paraId="4B83BA8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% nedovoljan (1)</w:t>
            </w:r>
          </w:p>
        </w:tc>
      </w:tr>
      <w:tr w:rsidR="00722BB7" w:rsidRPr="00293EE1" w14:paraId="4FF22C00" w14:textId="77777777" w:rsidTr="00DF3546">
        <w:tc>
          <w:tcPr>
            <w:tcW w:w="1801" w:type="dxa"/>
            <w:vMerge/>
            <w:shd w:val="clear" w:color="auto" w:fill="F2F2F2" w:themeFill="background1" w:themeFillShade="F2"/>
          </w:tcPr>
          <w:p w14:paraId="1E8845F9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1207" w:type="dxa"/>
            <w:gridSpan w:val="4"/>
            <w:vAlign w:val="center"/>
          </w:tcPr>
          <w:p w14:paraId="6CF11F9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60-69</w:t>
            </w:r>
          </w:p>
        </w:tc>
        <w:tc>
          <w:tcPr>
            <w:tcW w:w="6491" w:type="dxa"/>
            <w:gridSpan w:val="30"/>
            <w:vAlign w:val="center"/>
          </w:tcPr>
          <w:p w14:paraId="7955142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% dovoljan (2)</w:t>
            </w:r>
          </w:p>
        </w:tc>
      </w:tr>
      <w:tr w:rsidR="00722BB7" w:rsidRPr="00293EE1" w14:paraId="4D5A29B8" w14:textId="77777777" w:rsidTr="00DF3546">
        <w:tc>
          <w:tcPr>
            <w:tcW w:w="1801" w:type="dxa"/>
            <w:vMerge/>
            <w:shd w:val="clear" w:color="auto" w:fill="F2F2F2" w:themeFill="background1" w:themeFillShade="F2"/>
          </w:tcPr>
          <w:p w14:paraId="188ED923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1207" w:type="dxa"/>
            <w:gridSpan w:val="4"/>
            <w:vAlign w:val="center"/>
          </w:tcPr>
          <w:p w14:paraId="3B2CE516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70-79</w:t>
            </w:r>
          </w:p>
        </w:tc>
        <w:tc>
          <w:tcPr>
            <w:tcW w:w="6491" w:type="dxa"/>
            <w:gridSpan w:val="30"/>
            <w:vAlign w:val="center"/>
          </w:tcPr>
          <w:p w14:paraId="445D60DF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% dobar (3)</w:t>
            </w:r>
          </w:p>
        </w:tc>
      </w:tr>
      <w:tr w:rsidR="00722BB7" w:rsidRPr="00293EE1" w14:paraId="32D6C9A9" w14:textId="77777777" w:rsidTr="00DF3546">
        <w:tc>
          <w:tcPr>
            <w:tcW w:w="1801" w:type="dxa"/>
            <w:vMerge/>
            <w:shd w:val="clear" w:color="auto" w:fill="F2F2F2" w:themeFill="background1" w:themeFillShade="F2"/>
          </w:tcPr>
          <w:p w14:paraId="16FF6877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1207" w:type="dxa"/>
            <w:gridSpan w:val="4"/>
            <w:vAlign w:val="center"/>
          </w:tcPr>
          <w:p w14:paraId="5F5750E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80-89</w:t>
            </w:r>
          </w:p>
        </w:tc>
        <w:tc>
          <w:tcPr>
            <w:tcW w:w="6491" w:type="dxa"/>
            <w:gridSpan w:val="30"/>
            <w:vAlign w:val="center"/>
          </w:tcPr>
          <w:p w14:paraId="33C8A10A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% vrlo dobar (4)</w:t>
            </w:r>
          </w:p>
        </w:tc>
      </w:tr>
      <w:tr w:rsidR="00722BB7" w:rsidRPr="00293EE1" w14:paraId="0839FA21" w14:textId="77777777" w:rsidTr="00DF3546">
        <w:tc>
          <w:tcPr>
            <w:tcW w:w="1801" w:type="dxa"/>
            <w:vMerge/>
            <w:shd w:val="clear" w:color="auto" w:fill="F2F2F2" w:themeFill="background1" w:themeFillShade="F2"/>
          </w:tcPr>
          <w:p w14:paraId="750327BE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</w:p>
        </w:tc>
        <w:tc>
          <w:tcPr>
            <w:tcW w:w="1207" w:type="dxa"/>
            <w:gridSpan w:val="4"/>
            <w:vAlign w:val="center"/>
          </w:tcPr>
          <w:p w14:paraId="15188B94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90-100</w:t>
            </w:r>
          </w:p>
        </w:tc>
        <w:tc>
          <w:tcPr>
            <w:tcW w:w="6491" w:type="dxa"/>
            <w:gridSpan w:val="30"/>
            <w:vAlign w:val="center"/>
          </w:tcPr>
          <w:p w14:paraId="69AF6170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r w:rsidRPr="00293EE1">
              <w:rPr>
                <w:rFonts w:ascii="Merriweather" w:hAnsi="Merriweather"/>
                <w:sz w:val="18"/>
              </w:rPr>
              <w:t>% izvrstan (5)</w:t>
            </w:r>
          </w:p>
        </w:tc>
      </w:tr>
      <w:tr w:rsidR="00722BB7" w:rsidRPr="00293EE1" w14:paraId="5BE6F82E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333D81CE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Način praćenja kvalitete</w:t>
            </w:r>
          </w:p>
        </w:tc>
        <w:tc>
          <w:tcPr>
            <w:tcW w:w="7698" w:type="dxa"/>
            <w:gridSpan w:val="34"/>
            <w:vAlign w:val="center"/>
          </w:tcPr>
          <w:p w14:paraId="59A9900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3653584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studentska evaluacija nastave na razini Sveučilišta </w:t>
            </w:r>
          </w:p>
          <w:p w14:paraId="59084938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296217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studentska evaluacija nastave na razini sastavnice</w:t>
            </w:r>
          </w:p>
          <w:p w14:paraId="2DEDC4E8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25635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interna evaluacija nastave </w:t>
            </w:r>
          </w:p>
          <w:p w14:paraId="15A7D0C6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-13956508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tematske sjednice stručnih vijeća sastavnica o kvaliteti nastave i rezultatima studentske ankete</w:t>
            </w:r>
          </w:p>
          <w:p w14:paraId="62010342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rPr>
                <w:rFonts w:ascii="Merriweather" w:hAnsi="Merriweather"/>
                <w:sz w:val="18"/>
              </w:rPr>
            </w:pPr>
            <w:sdt>
              <w:sdtPr>
                <w:rPr>
                  <w:rFonts w:ascii="Merriweather" w:hAnsi="Merriweather"/>
                  <w:sz w:val="18"/>
                </w:rPr>
                <w:id w:val="144619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eastAsia="MS Gothic" w:hAnsi="Segoe UI Symbol" w:cs="Segoe UI Symbol"/>
                    <w:sz w:val="18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  <w:sz w:val="18"/>
              </w:rPr>
              <w:t xml:space="preserve"> ostalo</w:t>
            </w:r>
          </w:p>
        </w:tc>
      </w:tr>
      <w:tr w:rsidR="00722BB7" w:rsidRPr="00293EE1" w14:paraId="34171276" w14:textId="77777777" w:rsidTr="00DF3546">
        <w:tc>
          <w:tcPr>
            <w:tcW w:w="1801" w:type="dxa"/>
            <w:shd w:val="clear" w:color="auto" w:fill="F2F2F2" w:themeFill="background1" w:themeFillShade="F2"/>
          </w:tcPr>
          <w:p w14:paraId="46CBEA8E" w14:textId="77777777" w:rsidR="00722BB7" w:rsidRPr="00293EE1" w:rsidRDefault="00722BB7" w:rsidP="00DF3546">
            <w:pPr>
              <w:spacing w:before="20" w:after="20"/>
              <w:rPr>
                <w:rFonts w:ascii="Merriweather" w:hAnsi="Merriweather"/>
                <w:b/>
                <w:sz w:val="18"/>
              </w:rPr>
            </w:pPr>
            <w:r w:rsidRPr="00293EE1">
              <w:rPr>
                <w:rFonts w:ascii="Merriweather" w:hAnsi="Merriweather"/>
                <w:b/>
                <w:sz w:val="18"/>
              </w:rPr>
              <w:t>Napomena</w:t>
            </w:r>
            <w:r w:rsidRPr="00293EE1">
              <w:rPr>
                <w:rFonts w:ascii="Cambria Math" w:hAnsi="Cambria Math" w:cs="Cambria Math"/>
                <w:b/>
                <w:sz w:val="18"/>
              </w:rPr>
              <w:t> </w:t>
            </w:r>
            <w:r w:rsidRPr="00293EE1">
              <w:rPr>
                <w:rFonts w:ascii="Merriweather" w:hAnsi="Merriweather"/>
                <w:b/>
                <w:sz w:val="18"/>
              </w:rPr>
              <w:t>/</w:t>
            </w:r>
            <w:r w:rsidRPr="00293EE1">
              <w:rPr>
                <w:rFonts w:ascii="Cambria Math" w:hAnsi="Cambria Math" w:cs="Cambria Math"/>
                <w:b/>
                <w:sz w:val="18"/>
              </w:rPr>
              <w:t> </w:t>
            </w:r>
            <w:r w:rsidRPr="00293EE1">
              <w:rPr>
                <w:rFonts w:ascii="Merriweather" w:hAnsi="Merriweather"/>
                <w:b/>
                <w:sz w:val="18"/>
              </w:rPr>
              <w:t>Ostalo</w:t>
            </w:r>
          </w:p>
        </w:tc>
        <w:tc>
          <w:tcPr>
            <w:tcW w:w="7698" w:type="dxa"/>
            <w:gridSpan w:val="34"/>
            <w:shd w:val="clear" w:color="auto" w:fill="auto"/>
          </w:tcPr>
          <w:p w14:paraId="17F22E5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Sukladno čl. 6. </w:t>
            </w:r>
            <w:r w:rsidRPr="00293EE1">
              <w:rPr>
                <w:rFonts w:ascii="Merriweather" w:eastAsia="MS Gothic" w:hAnsi="Merriweather"/>
                <w:i/>
                <w:sz w:val="18"/>
              </w:rPr>
              <w:t>Etičkog kodeksa</w:t>
            </w:r>
            <w:r w:rsidRPr="00293EE1">
              <w:rPr>
                <w:rFonts w:ascii="Merriweather" w:eastAsia="MS Gothic" w:hAnsi="Merriweather"/>
                <w:sz w:val="18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40E98B63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Prema čl. 14. </w:t>
            </w:r>
            <w:r w:rsidRPr="00293EE1">
              <w:rPr>
                <w:rFonts w:ascii="Merriweather" w:eastAsia="MS Gothic" w:hAnsi="Merriweather"/>
                <w:i/>
                <w:sz w:val="18"/>
              </w:rPr>
              <w:t>Etičkog kodeksa</w:t>
            </w:r>
            <w:r w:rsidRPr="00293EE1">
              <w:rPr>
                <w:rFonts w:ascii="Merriweather" w:eastAsia="MS Gothic" w:hAnsi="Merriweather"/>
                <w:sz w:val="18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293EE1">
              <w:rPr>
                <w:rFonts w:ascii="Merriweather" w:hAnsi="Merriweather"/>
              </w:rPr>
              <w:t xml:space="preserve"> </w:t>
            </w:r>
            <w:r w:rsidRPr="00293EE1">
              <w:rPr>
                <w:rFonts w:ascii="Merriweather" w:eastAsia="MS Gothic" w:hAnsi="Merriweather"/>
                <w:sz w:val="18"/>
              </w:rPr>
              <w:t xml:space="preserve">[…] </w:t>
            </w:r>
          </w:p>
          <w:p w14:paraId="5A953A7E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29F1D256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3D1EE98F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- razne oblike krivotvorenja kao što su uporaba ili posjedovanje neautorizirana materijala tijekom ispita; lažno predstavljanje i nazočnost ispitima u ime drugih </w:t>
            </w:r>
            <w:r w:rsidRPr="00293EE1">
              <w:rPr>
                <w:rFonts w:ascii="Merriweather" w:eastAsia="MS Gothic" w:hAnsi="Merriweather"/>
                <w:sz w:val="18"/>
              </w:rPr>
              <w:lastRenderedPageBreak/>
              <w:t>studenata; lažiranje dokumenata u vezi sa studijima; falsificiranje potpisa i ocjena; krivotvorenje rezultata ispita“.</w:t>
            </w:r>
          </w:p>
          <w:p w14:paraId="65F2F54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6" w:history="1">
              <w:r w:rsidRPr="00293EE1">
                <w:rPr>
                  <w:rStyle w:val="Hyperlink"/>
                  <w:rFonts w:ascii="Merriweather" w:eastAsia="MS Gothic" w:hAnsi="Merriweather"/>
                  <w:i/>
                  <w:sz w:val="18"/>
                </w:rPr>
                <w:t>Pravilnik o stegovnoj odgovornosti studenata/studentica Sveučilišta u Zadru</w:t>
              </w:r>
            </w:hyperlink>
            <w:r w:rsidRPr="00293EE1">
              <w:rPr>
                <w:rFonts w:ascii="Merriweather" w:eastAsia="MS Gothic" w:hAnsi="Merriweather"/>
                <w:sz w:val="18"/>
              </w:rPr>
              <w:t>.</w:t>
            </w:r>
          </w:p>
          <w:p w14:paraId="34B7A471" w14:textId="77777777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U elektronskoj komunikaciji bit će odgovarano samo na poruke koje dolaze s poznatih adresa s imenom i prezimenom, te koje su napisane hrvatskim standardom i primjerenim akademskim stilom.</w:t>
            </w:r>
          </w:p>
          <w:p w14:paraId="042C5720" w14:textId="51180574" w:rsidR="00722BB7" w:rsidRPr="00293EE1" w:rsidRDefault="00722BB7" w:rsidP="00DF3546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/>
                <w:sz w:val="18"/>
              </w:rPr>
            </w:pPr>
            <w:r w:rsidRPr="00293EE1">
              <w:rPr>
                <w:rFonts w:ascii="Merriweather" w:eastAsia="MS Gothic" w:hAnsi="Merriweather"/>
                <w:sz w:val="18"/>
              </w:rPr>
              <w:t>U kolegiju se koristi Merlin, sustav za e-učenje, pa su studentima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potrebni AAI računi.</w:t>
            </w:r>
          </w:p>
        </w:tc>
      </w:tr>
    </w:tbl>
    <w:p w14:paraId="742BF64E" w14:textId="77777777" w:rsidR="00722BB7" w:rsidRPr="00293EE1" w:rsidRDefault="00722BB7" w:rsidP="00722BB7">
      <w:pPr>
        <w:rPr>
          <w:rFonts w:ascii="Merriweather" w:hAnsi="Merriweather" w:cs="Times New Roman"/>
          <w:sz w:val="24"/>
        </w:rPr>
      </w:pPr>
    </w:p>
    <w:p w14:paraId="4DE53F49" w14:textId="77777777" w:rsidR="008648F4" w:rsidRDefault="008648F4"/>
    <w:sectPr w:rsidR="008648F4" w:rsidSect="002140B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">
    <w:altName w:val="Courier New"/>
    <w:charset w:val="00"/>
    <w:family w:val="auto"/>
    <w:pitch w:val="variable"/>
    <w:sig w:usb0="20000207" w:usb1="00000002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92D68"/>
    <w:multiLevelType w:val="hybridMultilevel"/>
    <w:tmpl w:val="306E3AFC"/>
    <w:lvl w:ilvl="0" w:tplc="2EEA24B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8A760B"/>
    <w:multiLevelType w:val="hybridMultilevel"/>
    <w:tmpl w:val="A6A8F9C2"/>
    <w:lvl w:ilvl="0" w:tplc="C218C632">
      <w:start w:val="10"/>
      <w:numFmt w:val="bullet"/>
      <w:lvlText w:val="-"/>
      <w:lvlJc w:val="left"/>
      <w:pPr>
        <w:ind w:left="1080" w:hanging="360"/>
      </w:pPr>
      <w:rPr>
        <w:rFonts w:ascii="Calibri" w:eastAsiaTheme="minorHAns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94C369C"/>
    <w:multiLevelType w:val="hybridMultilevel"/>
    <w:tmpl w:val="869A50F0"/>
    <w:lvl w:ilvl="0" w:tplc="C218C63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072668">
    <w:abstractNumId w:val="1"/>
  </w:num>
  <w:num w:numId="2" w16cid:durableId="1608586857">
    <w:abstractNumId w:val="2"/>
  </w:num>
  <w:num w:numId="3" w16cid:durableId="162823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BB7"/>
    <w:rsid w:val="002140BA"/>
    <w:rsid w:val="00722BB7"/>
    <w:rsid w:val="008648F4"/>
    <w:rsid w:val="00C8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B4723"/>
  <w15:chartTrackingRefBased/>
  <w15:docId w15:val="{E46A3933-7A96-4D34-A64B-8788F378C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BB7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BodyText"/>
    <w:link w:val="Heading1Char"/>
    <w:qFormat/>
    <w:rsid w:val="00722BB7"/>
    <w:pPr>
      <w:suppressAutoHyphens/>
      <w:spacing w:before="280" w:after="280" w:line="240" w:lineRule="auto"/>
      <w:outlineLvl w:val="0"/>
    </w:pPr>
    <w:rPr>
      <w:rFonts w:ascii="Times New Roman" w:eastAsia="Times New Roman" w:hAnsi="Times New Roman" w:cs="Times New Roman"/>
      <w:bCs/>
      <w:color w:val="44546A" w:themeColor="text2"/>
      <w:kern w:val="36"/>
      <w:sz w:val="28"/>
      <w:szCs w:val="4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722BB7"/>
    <w:rPr>
      <w:rFonts w:ascii="Times New Roman" w:eastAsia="Times New Roman" w:hAnsi="Times New Roman" w:cs="Times New Roman"/>
      <w:bCs/>
      <w:color w:val="44546A" w:themeColor="text2"/>
      <w:kern w:val="36"/>
      <w:sz w:val="28"/>
      <w:szCs w:val="48"/>
      <w:lang w:val="en-US" w:eastAsia="zh-CN"/>
      <w14:ligatures w14:val="none"/>
    </w:rPr>
  </w:style>
  <w:style w:type="paragraph" w:styleId="ListParagraph">
    <w:name w:val="List Paragraph"/>
    <w:basedOn w:val="Normal"/>
    <w:uiPriority w:val="34"/>
    <w:qFormat/>
    <w:rsid w:val="00722BB7"/>
    <w:pPr>
      <w:ind w:left="720"/>
      <w:contextualSpacing/>
    </w:pPr>
  </w:style>
  <w:style w:type="character" w:styleId="Hyperlink">
    <w:name w:val="Hyperlink"/>
    <w:uiPriority w:val="99"/>
    <w:rsid w:val="00722BB7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722BB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22BB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izd.hr/Portals/0/doc/doc_pdf_dokumenti/pravilnici/pravilnik_o_stegovnoj_odgovornosti_studenata_20150917.pdf" TargetMode="External"/><Relationship Id="rId5" Type="http://schemas.openxmlformats.org/officeDocument/2006/relationships/hyperlink" Target="mailto:nkostovic@unizd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3136</Words>
  <Characters>17878</Characters>
  <Application>Microsoft Office Word</Application>
  <DocSecurity>0</DocSecurity>
  <Lines>148</Lines>
  <Paragraphs>41</Paragraphs>
  <ScaleCrop>false</ScaleCrop>
  <Company/>
  <LinksUpToDate>false</LinksUpToDate>
  <CharactersWithSpaces>20973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Toman</dc:creator>
  <cp:keywords/>
  <dc:description/>
  <cp:lastModifiedBy>Ivan Toman</cp:lastModifiedBy>
  <cp:revision>1</cp:revision>
  <dcterms:created xsi:type="dcterms:W3CDTF">2023-12-19T14:27:00Z</dcterms:created>
  <dcterms:modified xsi:type="dcterms:W3CDTF">2023-12-19T14:28:00Z</dcterms:modified>
</cp:coreProperties>
</file>